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2BB" w:rsidRDefault="003C72BB" w:rsidP="003C72BB">
      <w:pPr>
        <w:jc w:val="center"/>
        <w:rPr>
          <w:rFonts w:ascii="Times New Roman" w:hAnsi="Times New Roman" w:cs="Times New Roman"/>
          <w:b/>
          <w:sz w:val="40"/>
          <w:szCs w:val="40"/>
          <w:lang w:val="bg-BG"/>
        </w:rPr>
      </w:pPr>
      <w:r w:rsidRPr="003C72BB">
        <w:rPr>
          <w:rFonts w:ascii="Times New Roman" w:hAnsi="Times New Roman" w:cs="Times New Roman"/>
          <w:b/>
          <w:sz w:val="40"/>
          <w:szCs w:val="40"/>
          <w:lang w:val="bg-BG"/>
        </w:rPr>
        <w:t>КРАТКСРОЧНА ПРОГРАМА</w:t>
      </w:r>
    </w:p>
    <w:p w:rsidR="003C72BB" w:rsidRDefault="003C72BB" w:rsidP="003C72BB">
      <w:pPr>
        <w:jc w:val="center"/>
        <w:rPr>
          <w:rFonts w:ascii="Times New Roman" w:hAnsi="Times New Roman" w:cs="Times New Roman"/>
          <w:b/>
          <w:sz w:val="40"/>
          <w:szCs w:val="40"/>
          <w:lang w:val="bg-BG"/>
        </w:rPr>
      </w:pPr>
      <w:r w:rsidRPr="003C72BB">
        <w:rPr>
          <w:rFonts w:ascii="Times New Roman" w:hAnsi="Times New Roman" w:cs="Times New Roman"/>
          <w:b/>
          <w:sz w:val="40"/>
          <w:szCs w:val="40"/>
          <w:lang w:val="bg-BG"/>
        </w:rPr>
        <w:t>НА ОБЩИНА КАЙНАРДЖА</w:t>
      </w:r>
    </w:p>
    <w:p w:rsidR="003C72BB" w:rsidRPr="003C72BB" w:rsidRDefault="003C72BB" w:rsidP="003C72BB">
      <w:pPr>
        <w:jc w:val="center"/>
        <w:rPr>
          <w:rFonts w:ascii="Times New Roman" w:hAnsi="Times New Roman" w:cs="Times New Roman"/>
          <w:b/>
          <w:sz w:val="40"/>
          <w:szCs w:val="40"/>
          <w:lang w:val="bg-BG"/>
        </w:rPr>
      </w:pPr>
      <w:r w:rsidRPr="003C72BB">
        <w:rPr>
          <w:rFonts w:ascii="Times New Roman" w:hAnsi="Times New Roman" w:cs="Times New Roman"/>
          <w:b/>
          <w:sz w:val="40"/>
          <w:szCs w:val="40"/>
          <w:lang w:val="bg-BG"/>
        </w:rPr>
        <w:t>ЗА МЕРКИ И ДЕЙНОСТИ ПО ЗАКОНА ЗА ЕНЕРГИЯТА ОТ ВЪЗОБНОВЯЕМИ ИЗТОЧНИЦИ И ПО ЗАКОНА ЗА ЕНЕРГИЙНА ЕФЕКТИВНОСТ ЗА ПЕРИОДА 2022-2024 ГОДИНА</w:t>
      </w:r>
    </w:p>
    <w:p w:rsidR="003D5831" w:rsidRDefault="003D5831" w:rsidP="00A70CE3">
      <w:pPr>
        <w:spacing w:after="0" w:line="360" w:lineRule="auto"/>
        <w:rPr>
          <w:rFonts w:ascii="Times New Roman" w:hAnsi="Times New Roman" w:cs="Times New Roman"/>
          <w:sz w:val="28"/>
          <w:szCs w:val="28"/>
          <w:lang w:val="bg-BG"/>
        </w:rPr>
      </w:pPr>
    </w:p>
    <w:p w:rsidR="003D5831" w:rsidRDefault="003D5831" w:rsidP="00165218">
      <w:pPr>
        <w:spacing w:after="0" w:line="360" w:lineRule="auto"/>
        <w:jc w:val="center"/>
        <w:rPr>
          <w:rFonts w:ascii="Times New Roman" w:hAnsi="Times New Roman" w:cs="Times New Roman"/>
          <w:sz w:val="28"/>
          <w:szCs w:val="28"/>
          <w:lang w:val="bg-BG"/>
        </w:rPr>
      </w:pPr>
      <w:r w:rsidRPr="003D5831">
        <w:rPr>
          <w:rFonts w:ascii="Times New Roman" w:hAnsi="Times New Roman" w:cs="Times New Roman"/>
          <w:noProof/>
          <w:sz w:val="28"/>
          <w:szCs w:val="28"/>
          <w:lang w:val="en-GB" w:eastAsia="en-GB"/>
        </w:rPr>
        <w:drawing>
          <wp:inline distT="0" distB="0" distL="0" distR="0">
            <wp:extent cx="5050117" cy="4327525"/>
            <wp:effectExtent l="0" t="0" r="0" b="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145751" cy="4409476"/>
                    </a:xfrm>
                    <a:prstGeom prst="rect">
                      <a:avLst/>
                    </a:prstGeom>
                  </pic:spPr>
                </pic:pic>
              </a:graphicData>
            </a:graphic>
          </wp:inline>
        </w:drawing>
      </w:r>
    </w:p>
    <w:p w:rsidR="003C72BB" w:rsidRPr="00BE2B92" w:rsidRDefault="003C72BB" w:rsidP="00165218">
      <w:pPr>
        <w:spacing w:after="0" w:line="360" w:lineRule="auto"/>
        <w:jc w:val="center"/>
        <w:rPr>
          <w:rFonts w:ascii="Times New Roman" w:hAnsi="Times New Roman" w:cs="Times New Roman"/>
          <w:sz w:val="28"/>
          <w:szCs w:val="28"/>
          <w:lang w:val="bg-BG"/>
        </w:rPr>
      </w:pPr>
    </w:p>
    <w:p w:rsidR="00A70CE3" w:rsidRPr="00A70CE3" w:rsidRDefault="00A70CE3" w:rsidP="00A70CE3">
      <w:pPr>
        <w:spacing w:after="0" w:line="240" w:lineRule="auto"/>
        <w:ind w:firstLine="709"/>
        <w:jc w:val="center"/>
        <w:rPr>
          <w:rFonts w:ascii="Times New Roman" w:hAnsi="Times New Roman" w:cs="Times New Roman"/>
          <w:b/>
          <w:i/>
          <w:sz w:val="24"/>
          <w:szCs w:val="24"/>
          <w:lang w:val="bg-BG"/>
        </w:rPr>
      </w:pPr>
      <w:r w:rsidRPr="00A70CE3">
        <w:rPr>
          <w:rFonts w:ascii="Times New Roman" w:hAnsi="Times New Roman" w:cs="Times New Roman"/>
          <w:b/>
          <w:i/>
          <w:sz w:val="24"/>
          <w:szCs w:val="24"/>
          <w:lang w:val="bg-BG"/>
        </w:rPr>
        <w:t>Приета с Решение №234,</w:t>
      </w:r>
    </w:p>
    <w:p w:rsidR="007F3869" w:rsidRPr="00A70CE3" w:rsidRDefault="00A70CE3" w:rsidP="00A70CE3">
      <w:pPr>
        <w:spacing w:after="0" w:line="240" w:lineRule="auto"/>
        <w:ind w:firstLine="709"/>
        <w:jc w:val="center"/>
        <w:rPr>
          <w:rFonts w:ascii="Times New Roman" w:hAnsi="Times New Roman" w:cs="Times New Roman"/>
          <w:b/>
          <w:i/>
          <w:sz w:val="24"/>
          <w:szCs w:val="24"/>
          <w:lang w:val="bg-BG"/>
        </w:rPr>
      </w:pPr>
      <w:r w:rsidRPr="00A70CE3">
        <w:rPr>
          <w:rFonts w:ascii="Times New Roman" w:hAnsi="Times New Roman" w:cs="Times New Roman"/>
          <w:b/>
          <w:i/>
          <w:sz w:val="24"/>
          <w:szCs w:val="24"/>
          <w:lang w:val="bg-BG"/>
        </w:rPr>
        <w:t>Протокол 34 от 25.02.2022 год.</w:t>
      </w:r>
      <w:r w:rsidR="003C72BB" w:rsidRPr="00A70CE3">
        <w:rPr>
          <w:rFonts w:ascii="Times New Roman" w:hAnsi="Times New Roman" w:cs="Times New Roman"/>
          <w:b/>
          <w:i/>
          <w:sz w:val="24"/>
          <w:szCs w:val="24"/>
          <w:lang w:val="bg-BG"/>
        </w:rPr>
        <w:t xml:space="preserve"> на Общински съвет Кайнарджа</w:t>
      </w:r>
    </w:p>
    <w:p w:rsidR="00A70CE3" w:rsidRPr="00BE2B92" w:rsidRDefault="00A70CE3" w:rsidP="00A70CE3">
      <w:pPr>
        <w:spacing w:after="0" w:line="240" w:lineRule="auto"/>
        <w:ind w:firstLine="709"/>
        <w:jc w:val="center"/>
        <w:rPr>
          <w:rFonts w:ascii="Times New Roman" w:hAnsi="Times New Roman" w:cs="Times New Roman"/>
          <w:sz w:val="28"/>
          <w:szCs w:val="28"/>
          <w:lang w:val="bg-BG"/>
        </w:rPr>
      </w:pPr>
    </w:p>
    <w:p w:rsidR="005D0C17" w:rsidRDefault="005D0C17" w:rsidP="005D0C17">
      <w:pPr>
        <w:spacing w:after="0" w:line="360" w:lineRule="auto"/>
        <w:jc w:val="center"/>
        <w:rPr>
          <w:rFonts w:ascii="Times New Roman" w:hAnsi="Times New Roman" w:cs="Times New Roman"/>
          <w:sz w:val="28"/>
          <w:szCs w:val="28"/>
          <w:lang w:val="bg-BG"/>
        </w:rPr>
      </w:pPr>
      <w:r w:rsidRPr="00BE2B92">
        <w:rPr>
          <w:rFonts w:ascii="Times New Roman" w:hAnsi="Times New Roman" w:cs="Times New Roman"/>
          <w:sz w:val="28"/>
          <w:szCs w:val="28"/>
          <w:lang w:val="bg-BG"/>
        </w:rPr>
        <w:lastRenderedPageBreak/>
        <w:t>СЪДЪРЖАНИЕ</w:t>
      </w:r>
    </w:p>
    <w:p w:rsidR="003C72BB" w:rsidRDefault="003C72BB" w:rsidP="005D0C17">
      <w:pPr>
        <w:spacing w:after="0" w:line="360" w:lineRule="auto"/>
        <w:jc w:val="center"/>
        <w:rPr>
          <w:rFonts w:ascii="Times New Roman" w:hAnsi="Times New Roman" w:cs="Times New Roman"/>
          <w:sz w:val="28"/>
          <w:szCs w:val="28"/>
          <w:lang w:val="bg-BG"/>
        </w:rPr>
      </w:pPr>
    </w:p>
    <w:p w:rsidR="007F3869" w:rsidRPr="00BE2B92" w:rsidRDefault="007F3869" w:rsidP="005D0C17">
      <w:pPr>
        <w:spacing w:after="0" w:line="360" w:lineRule="auto"/>
        <w:jc w:val="center"/>
        <w:rPr>
          <w:rFonts w:ascii="Times New Roman" w:hAnsi="Times New Roman" w:cs="Times New Roman"/>
          <w:sz w:val="28"/>
          <w:szCs w:val="28"/>
          <w:lang w:val="bg-BG"/>
        </w:rPr>
      </w:pPr>
    </w:p>
    <w:sdt>
      <w:sdtPr>
        <w:rPr>
          <w:rFonts w:asciiTheme="minorHAnsi" w:eastAsiaTheme="minorHAnsi" w:hAnsiTheme="minorHAnsi" w:cstheme="minorBidi"/>
          <w:color w:val="auto"/>
          <w:sz w:val="22"/>
          <w:szCs w:val="22"/>
          <w:lang w:val="bg-BG"/>
        </w:rPr>
        <w:id w:val="-741484196"/>
        <w:docPartObj>
          <w:docPartGallery w:val="Table of Contents"/>
          <w:docPartUnique/>
        </w:docPartObj>
      </w:sdtPr>
      <w:sdtEndPr>
        <w:rPr>
          <w:b/>
          <w:bCs/>
          <w:noProof/>
        </w:rPr>
      </w:sdtEndPr>
      <w:sdtContent>
        <w:p w:rsidR="005D0C17" w:rsidRPr="00BE2B92" w:rsidRDefault="005D0C17" w:rsidP="005D0C17">
          <w:pPr>
            <w:pStyle w:val="a5"/>
            <w:spacing w:before="0"/>
            <w:jc w:val="both"/>
            <w:rPr>
              <w:rFonts w:ascii="Times New Roman" w:hAnsi="Times New Roman" w:cs="Times New Roman"/>
              <w:sz w:val="28"/>
              <w:szCs w:val="28"/>
              <w:lang w:val="bg-BG"/>
            </w:rPr>
          </w:pPr>
        </w:p>
        <w:p w:rsidR="00B93882" w:rsidRDefault="006D5334">
          <w:pPr>
            <w:pStyle w:val="12"/>
            <w:tabs>
              <w:tab w:val="left" w:pos="440"/>
            </w:tabs>
            <w:rPr>
              <w:rFonts w:eastAsiaTheme="minorEastAsia"/>
              <w:noProof/>
            </w:rPr>
          </w:pPr>
          <w:r w:rsidRPr="00E87C2C">
            <w:rPr>
              <w:rFonts w:ascii="Times New Roman" w:hAnsi="Times New Roman" w:cs="Times New Roman"/>
              <w:sz w:val="24"/>
              <w:szCs w:val="24"/>
              <w:lang w:val="bg-BG"/>
            </w:rPr>
            <w:fldChar w:fldCharType="begin"/>
          </w:r>
          <w:r w:rsidR="005D0C17" w:rsidRPr="00E87C2C">
            <w:rPr>
              <w:rFonts w:ascii="Times New Roman" w:hAnsi="Times New Roman" w:cs="Times New Roman"/>
              <w:sz w:val="24"/>
              <w:szCs w:val="24"/>
              <w:lang w:val="bg-BG"/>
            </w:rPr>
            <w:instrText xml:space="preserve"> TOC \o "1-3" \h \z \u </w:instrText>
          </w:r>
          <w:r w:rsidRPr="00E87C2C">
            <w:rPr>
              <w:rFonts w:ascii="Times New Roman" w:hAnsi="Times New Roman" w:cs="Times New Roman"/>
              <w:sz w:val="24"/>
              <w:szCs w:val="24"/>
              <w:lang w:val="bg-BG"/>
            </w:rPr>
            <w:fldChar w:fldCharType="separate"/>
          </w:r>
          <w:hyperlink w:anchor="_Toc96613169" w:history="1">
            <w:r w:rsidR="00B93882" w:rsidRPr="00970427">
              <w:rPr>
                <w:rStyle w:val="a6"/>
                <w:rFonts w:ascii="Times New Roman" w:hAnsi="Times New Roman" w:cs="Times New Roman"/>
                <w:b/>
                <w:noProof/>
                <w:lang w:val="bg-BG"/>
              </w:rPr>
              <w:t>1.</w:t>
            </w:r>
            <w:r w:rsidR="00B93882">
              <w:rPr>
                <w:rFonts w:eastAsiaTheme="minorEastAsia"/>
                <w:noProof/>
              </w:rPr>
              <w:tab/>
            </w:r>
            <w:r w:rsidR="00B93882" w:rsidRPr="00970427">
              <w:rPr>
                <w:rStyle w:val="a6"/>
                <w:rFonts w:ascii="Times New Roman" w:hAnsi="Times New Roman" w:cs="Times New Roman"/>
                <w:b/>
                <w:noProof/>
                <w:lang w:val="bg-BG"/>
              </w:rPr>
              <w:t>ОСНОВАНИЕ ЗА РАЗРАБОТВАНЕ</w:t>
            </w:r>
            <w:r w:rsidR="00B93882">
              <w:rPr>
                <w:noProof/>
                <w:webHidden/>
              </w:rPr>
              <w:tab/>
            </w:r>
            <w:r>
              <w:rPr>
                <w:noProof/>
                <w:webHidden/>
              </w:rPr>
              <w:fldChar w:fldCharType="begin"/>
            </w:r>
            <w:r w:rsidR="00B93882">
              <w:rPr>
                <w:noProof/>
                <w:webHidden/>
              </w:rPr>
              <w:instrText xml:space="preserve"> PAGEREF _Toc96613169 \h </w:instrText>
            </w:r>
            <w:r>
              <w:rPr>
                <w:noProof/>
                <w:webHidden/>
              </w:rPr>
            </w:r>
            <w:r>
              <w:rPr>
                <w:noProof/>
                <w:webHidden/>
              </w:rPr>
              <w:fldChar w:fldCharType="separate"/>
            </w:r>
            <w:r w:rsidR="009A5972">
              <w:rPr>
                <w:noProof/>
                <w:webHidden/>
              </w:rPr>
              <w:t>3</w:t>
            </w:r>
            <w:r>
              <w:rPr>
                <w:noProof/>
                <w:webHidden/>
              </w:rPr>
              <w:fldChar w:fldCharType="end"/>
            </w:r>
          </w:hyperlink>
        </w:p>
        <w:p w:rsidR="00B93882" w:rsidRDefault="006F2E21">
          <w:pPr>
            <w:pStyle w:val="12"/>
            <w:rPr>
              <w:rFonts w:eastAsiaTheme="minorEastAsia"/>
              <w:noProof/>
            </w:rPr>
          </w:pPr>
          <w:hyperlink w:anchor="_Toc96613170" w:history="1">
            <w:r w:rsidR="00B93882" w:rsidRPr="00970427">
              <w:rPr>
                <w:rStyle w:val="a6"/>
                <w:rFonts w:ascii="Times New Roman" w:hAnsi="Times New Roman" w:cs="Times New Roman"/>
                <w:b/>
                <w:noProof/>
                <w:lang w:val="bg-BG"/>
              </w:rPr>
              <w:t>2. ЦЕЛ НА ПРОГРАМАТА</w:t>
            </w:r>
            <w:r w:rsidR="00B93882">
              <w:rPr>
                <w:noProof/>
                <w:webHidden/>
              </w:rPr>
              <w:tab/>
            </w:r>
            <w:r w:rsidR="006D5334">
              <w:rPr>
                <w:noProof/>
                <w:webHidden/>
              </w:rPr>
              <w:fldChar w:fldCharType="begin"/>
            </w:r>
            <w:r w:rsidR="00B93882">
              <w:rPr>
                <w:noProof/>
                <w:webHidden/>
              </w:rPr>
              <w:instrText xml:space="preserve"> PAGEREF _Toc96613170 \h </w:instrText>
            </w:r>
            <w:r w:rsidR="006D5334">
              <w:rPr>
                <w:noProof/>
                <w:webHidden/>
              </w:rPr>
            </w:r>
            <w:r w:rsidR="006D5334">
              <w:rPr>
                <w:noProof/>
                <w:webHidden/>
              </w:rPr>
              <w:fldChar w:fldCharType="separate"/>
            </w:r>
            <w:r w:rsidR="009A5972">
              <w:rPr>
                <w:noProof/>
                <w:webHidden/>
              </w:rPr>
              <w:t>3</w:t>
            </w:r>
            <w:r w:rsidR="006D5334">
              <w:rPr>
                <w:noProof/>
                <w:webHidden/>
              </w:rPr>
              <w:fldChar w:fldCharType="end"/>
            </w:r>
          </w:hyperlink>
        </w:p>
        <w:p w:rsidR="00B93882" w:rsidRDefault="006F2E21">
          <w:pPr>
            <w:pStyle w:val="12"/>
            <w:rPr>
              <w:rFonts w:eastAsiaTheme="minorEastAsia"/>
              <w:noProof/>
            </w:rPr>
          </w:pPr>
          <w:hyperlink w:anchor="_Toc96613171" w:history="1">
            <w:r w:rsidR="00B93882" w:rsidRPr="00970427">
              <w:rPr>
                <w:rStyle w:val="a6"/>
                <w:rFonts w:ascii="Times New Roman" w:hAnsi="Times New Roman" w:cs="Times New Roman"/>
                <w:b/>
                <w:noProof/>
                <w:lang w:val="bg-BG"/>
              </w:rPr>
              <w:t>3. ОСНОВНИ ПОЛОЖЕНИЯ</w:t>
            </w:r>
            <w:r w:rsidR="00B93882">
              <w:rPr>
                <w:noProof/>
                <w:webHidden/>
              </w:rPr>
              <w:tab/>
            </w:r>
            <w:r w:rsidR="006D5334">
              <w:rPr>
                <w:noProof/>
                <w:webHidden/>
              </w:rPr>
              <w:fldChar w:fldCharType="begin"/>
            </w:r>
            <w:r w:rsidR="00B93882">
              <w:rPr>
                <w:noProof/>
                <w:webHidden/>
              </w:rPr>
              <w:instrText xml:space="preserve"> PAGEREF _Toc96613171 \h </w:instrText>
            </w:r>
            <w:r w:rsidR="006D5334">
              <w:rPr>
                <w:noProof/>
                <w:webHidden/>
              </w:rPr>
            </w:r>
            <w:r w:rsidR="006D5334">
              <w:rPr>
                <w:noProof/>
                <w:webHidden/>
              </w:rPr>
              <w:fldChar w:fldCharType="separate"/>
            </w:r>
            <w:r w:rsidR="009A5972">
              <w:rPr>
                <w:noProof/>
                <w:webHidden/>
              </w:rPr>
              <w:t>5</w:t>
            </w:r>
            <w:r w:rsidR="006D5334">
              <w:rPr>
                <w:noProof/>
                <w:webHidden/>
              </w:rPr>
              <w:fldChar w:fldCharType="end"/>
            </w:r>
          </w:hyperlink>
        </w:p>
        <w:p w:rsidR="00B93882" w:rsidRDefault="006F2E21">
          <w:pPr>
            <w:pStyle w:val="12"/>
            <w:rPr>
              <w:rFonts w:eastAsiaTheme="minorEastAsia"/>
              <w:noProof/>
            </w:rPr>
          </w:pPr>
          <w:hyperlink w:anchor="_Toc96613172" w:history="1">
            <w:r w:rsidR="00B93882" w:rsidRPr="00970427">
              <w:rPr>
                <w:rStyle w:val="a6"/>
                <w:rFonts w:ascii="Times New Roman" w:hAnsi="Times New Roman" w:cs="Times New Roman"/>
                <w:b/>
                <w:noProof/>
                <w:lang w:val="bg-BG"/>
              </w:rPr>
              <w:t>4. ПРИЛОЖИМИ НОРМАТИВНИ АКТОВЕ</w:t>
            </w:r>
            <w:r w:rsidR="00B93882">
              <w:rPr>
                <w:noProof/>
                <w:webHidden/>
              </w:rPr>
              <w:tab/>
            </w:r>
            <w:r w:rsidR="006D5334">
              <w:rPr>
                <w:noProof/>
                <w:webHidden/>
              </w:rPr>
              <w:fldChar w:fldCharType="begin"/>
            </w:r>
            <w:r w:rsidR="00B93882">
              <w:rPr>
                <w:noProof/>
                <w:webHidden/>
              </w:rPr>
              <w:instrText xml:space="preserve"> PAGEREF _Toc96613172 \h </w:instrText>
            </w:r>
            <w:r w:rsidR="006D5334">
              <w:rPr>
                <w:noProof/>
                <w:webHidden/>
              </w:rPr>
            </w:r>
            <w:r w:rsidR="006D5334">
              <w:rPr>
                <w:noProof/>
                <w:webHidden/>
              </w:rPr>
              <w:fldChar w:fldCharType="separate"/>
            </w:r>
            <w:r w:rsidR="009A5972">
              <w:rPr>
                <w:noProof/>
                <w:webHidden/>
              </w:rPr>
              <w:t>6</w:t>
            </w:r>
            <w:r w:rsidR="006D5334">
              <w:rPr>
                <w:noProof/>
                <w:webHidden/>
              </w:rPr>
              <w:fldChar w:fldCharType="end"/>
            </w:r>
          </w:hyperlink>
        </w:p>
        <w:p w:rsidR="00B93882" w:rsidRDefault="006F2E21">
          <w:pPr>
            <w:pStyle w:val="12"/>
            <w:rPr>
              <w:rFonts w:eastAsiaTheme="minorEastAsia"/>
              <w:noProof/>
            </w:rPr>
          </w:pPr>
          <w:hyperlink w:anchor="_Toc96613173" w:history="1">
            <w:r w:rsidR="00B93882" w:rsidRPr="00970427">
              <w:rPr>
                <w:rStyle w:val="a6"/>
                <w:rFonts w:ascii="Times New Roman" w:hAnsi="Times New Roman" w:cs="Times New Roman"/>
                <w:b/>
                <w:noProof/>
                <w:lang w:val="bg-BG"/>
              </w:rPr>
              <w:t>5. ПРОФИЛ НА ОБЩИНА КАЙНАРДЖА</w:t>
            </w:r>
            <w:r w:rsidR="00B93882">
              <w:rPr>
                <w:noProof/>
                <w:webHidden/>
              </w:rPr>
              <w:tab/>
            </w:r>
            <w:r w:rsidR="006D5334">
              <w:rPr>
                <w:noProof/>
                <w:webHidden/>
              </w:rPr>
              <w:fldChar w:fldCharType="begin"/>
            </w:r>
            <w:r w:rsidR="00B93882">
              <w:rPr>
                <w:noProof/>
                <w:webHidden/>
              </w:rPr>
              <w:instrText xml:space="preserve"> PAGEREF _Toc96613173 \h </w:instrText>
            </w:r>
            <w:r w:rsidR="006D5334">
              <w:rPr>
                <w:noProof/>
                <w:webHidden/>
              </w:rPr>
            </w:r>
            <w:r w:rsidR="006D5334">
              <w:rPr>
                <w:noProof/>
                <w:webHidden/>
              </w:rPr>
              <w:fldChar w:fldCharType="separate"/>
            </w:r>
            <w:r w:rsidR="009A5972">
              <w:rPr>
                <w:noProof/>
                <w:webHidden/>
              </w:rPr>
              <w:t>7</w:t>
            </w:r>
            <w:r w:rsidR="006D5334">
              <w:rPr>
                <w:noProof/>
                <w:webHidden/>
              </w:rPr>
              <w:fldChar w:fldCharType="end"/>
            </w:r>
          </w:hyperlink>
        </w:p>
        <w:p w:rsidR="00B93882" w:rsidRDefault="006F2E21">
          <w:pPr>
            <w:pStyle w:val="12"/>
            <w:rPr>
              <w:rFonts w:eastAsiaTheme="minorEastAsia"/>
              <w:noProof/>
            </w:rPr>
          </w:pPr>
          <w:hyperlink w:anchor="_Toc96613174" w:history="1">
            <w:r w:rsidR="00B93882" w:rsidRPr="00970427">
              <w:rPr>
                <w:rStyle w:val="a6"/>
                <w:rFonts w:ascii="Times New Roman" w:hAnsi="Times New Roman" w:cs="Times New Roman"/>
                <w:b/>
                <w:noProof/>
                <w:lang w:val="bg-BG"/>
              </w:rPr>
              <w:t>5.1.  Географско положение, площ, брой населени места, население</w:t>
            </w:r>
            <w:r w:rsidR="00B93882">
              <w:rPr>
                <w:noProof/>
                <w:webHidden/>
              </w:rPr>
              <w:tab/>
            </w:r>
            <w:r w:rsidR="006D5334">
              <w:rPr>
                <w:noProof/>
                <w:webHidden/>
              </w:rPr>
              <w:fldChar w:fldCharType="begin"/>
            </w:r>
            <w:r w:rsidR="00B93882">
              <w:rPr>
                <w:noProof/>
                <w:webHidden/>
              </w:rPr>
              <w:instrText xml:space="preserve"> PAGEREF _Toc96613174 \h </w:instrText>
            </w:r>
            <w:r w:rsidR="006D5334">
              <w:rPr>
                <w:noProof/>
                <w:webHidden/>
              </w:rPr>
            </w:r>
            <w:r w:rsidR="006D5334">
              <w:rPr>
                <w:noProof/>
                <w:webHidden/>
              </w:rPr>
              <w:fldChar w:fldCharType="separate"/>
            </w:r>
            <w:r w:rsidR="009A5972">
              <w:rPr>
                <w:noProof/>
                <w:webHidden/>
              </w:rPr>
              <w:t>7</w:t>
            </w:r>
            <w:r w:rsidR="006D5334">
              <w:rPr>
                <w:noProof/>
                <w:webHidden/>
              </w:rPr>
              <w:fldChar w:fldCharType="end"/>
            </w:r>
          </w:hyperlink>
        </w:p>
        <w:p w:rsidR="00B93882" w:rsidRDefault="006F2E21" w:rsidP="00B93882">
          <w:pPr>
            <w:pStyle w:val="31"/>
            <w:tabs>
              <w:tab w:val="left" w:pos="1100"/>
              <w:tab w:val="right" w:leader="dot" w:pos="9396"/>
            </w:tabs>
            <w:ind w:left="0"/>
            <w:rPr>
              <w:rFonts w:eastAsiaTheme="minorEastAsia"/>
              <w:noProof/>
            </w:rPr>
          </w:pPr>
          <w:hyperlink w:anchor="_Toc96613175" w:history="1">
            <w:r w:rsidR="00B93882" w:rsidRPr="00970427">
              <w:rPr>
                <w:rStyle w:val="a6"/>
                <w:rFonts w:ascii="Times New Roman" w:eastAsia="Calibri" w:hAnsi="Times New Roman" w:cs="Times New Roman"/>
                <w:b/>
                <w:noProof/>
                <w:lang w:val="bg-BG"/>
              </w:rPr>
              <w:t>5.2.Природни условия и състояние на околната среда</w:t>
            </w:r>
            <w:r w:rsidR="00B93882">
              <w:rPr>
                <w:noProof/>
                <w:webHidden/>
              </w:rPr>
              <w:tab/>
            </w:r>
            <w:r w:rsidR="006D5334">
              <w:rPr>
                <w:noProof/>
                <w:webHidden/>
              </w:rPr>
              <w:fldChar w:fldCharType="begin"/>
            </w:r>
            <w:r w:rsidR="00B93882">
              <w:rPr>
                <w:noProof/>
                <w:webHidden/>
              </w:rPr>
              <w:instrText xml:space="preserve"> PAGEREF _Toc96613175 \h </w:instrText>
            </w:r>
            <w:r w:rsidR="006D5334">
              <w:rPr>
                <w:noProof/>
                <w:webHidden/>
              </w:rPr>
            </w:r>
            <w:r w:rsidR="006D5334">
              <w:rPr>
                <w:noProof/>
                <w:webHidden/>
              </w:rPr>
              <w:fldChar w:fldCharType="separate"/>
            </w:r>
            <w:r w:rsidR="009A5972">
              <w:rPr>
                <w:noProof/>
                <w:webHidden/>
              </w:rPr>
              <w:t>9</w:t>
            </w:r>
            <w:r w:rsidR="006D5334">
              <w:rPr>
                <w:noProof/>
                <w:webHidden/>
              </w:rPr>
              <w:fldChar w:fldCharType="end"/>
            </w:r>
          </w:hyperlink>
        </w:p>
        <w:p w:rsidR="00B93882" w:rsidRDefault="006F2E21">
          <w:pPr>
            <w:pStyle w:val="12"/>
            <w:rPr>
              <w:rFonts w:eastAsiaTheme="minorEastAsia"/>
              <w:noProof/>
            </w:rPr>
          </w:pPr>
          <w:hyperlink w:anchor="_Toc96613177" w:history="1">
            <w:r w:rsidR="00B93882" w:rsidRPr="00970427">
              <w:rPr>
                <w:rStyle w:val="a6"/>
                <w:rFonts w:ascii="Times New Roman" w:hAnsi="Times New Roman" w:cs="Times New Roman"/>
                <w:b/>
                <w:noProof/>
                <w:lang w:val="bg-BG"/>
              </w:rPr>
              <w:t>5.3.  Сграден фонд</w:t>
            </w:r>
            <w:r w:rsidR="00B93882">
              <w:rPr>
                <w:noProof/>
                <w:webHidden/>
              </w:rPr>
              <w:tab/>
            </w:r>
            <w:r w:rsidR="006D5334">
              <w:rPr>
                <w:noProof/>
                <w:webHidden/>
              </w:rPr>
              <w:fldChar w:fldCharType="begin"/>
            </w:r>
            <w:r w:rsidR="00B93882">
              <w:rPr>
                <w:noProof/>
                <w:webHidden/>
              </w:rPr>
              <w:instrText xml:space="preserve"> PAGEREF _Toc96613177 \h </w:instrText>
            </w:r>
            <w:r w:rsidR="006D5334">
              <w:rPr>
                <w:noProof/>
                <w:webHidden/>
              </w:rPr>
            </w:r>
            <w:r w:rsidR="006D5334">
              <w:rPr>
                <w:noProof/>
                <w:webHidden/>
              </w:rPr>
              <w:fldChar w:fldCharType="separate"/>
            </w:r>
            <w:r w:rsidR="009A5972">
              <w:rPr>
                <w:noProof/>
                <w:webHidden/>
              </w:rPr>
              <w:t>12</w:t>
            </w:r>
            <w:r w:rsidR="006D5334">
              <w:rPr>
                <w:noProof/>
                <w:webHidden/>
              </w:rPr>
              <w:fldChar w:fldCharType="end"/>
            </w:r>
          </w:hyperlink>
        </w:p>
        <w:p w:rsidR="00B93882" w:rsidRDefault="006F2E21">
          <w:pPr>
            <w:pStyle w:val="12"/>
            <w:rPr>
              <w:rFonts w:eastAsiaTheme="minorEastAsia"/>
              <w:noProof/>
            </w:rPr>
          </w:pPr>
          <w:hyperlink w:anchor="_Toc96613178" w:history="1">
            <w:r w:rsidR="00B93882" w:rsidRPr="00970427">
              <w:rPr>
                <w:rStyle w:val="a6"/>
                <w:rFonts w:ascii="Times New Roman" w:hAnsi="Times New Roman" w:cs="Times New Roman"/>
                <w:b/>
                <w:noProof/>
                <w:lang w:val="bg-BG"/>
              </w:rPr>
              <w:t>5.4.  Промишлени предприятия</w:t>
            </w:r>
            <w:r w:rsidR="00B93882">
              <w:rPr>
                <w:noProof/>
                <w:webHidden/>
              </w:rPr>
              <w:tab/>
            </w:r>
            <w:r w:rsidR="006D5334">
              <w:rPr>
                <w:noProof/>
                <w:webHidden/>
              </w:rPr>
              <w:fldChar w:fldCharType="begin"/>
            </w:r>
            <w:r w:rsidR="00B93882">
              <w:rPr>
                <w:noProof/>
                <w:webHidden/>
              </w:rPr>
              <w:instrText xml:space="preserve"> PAGEREF _Toc96613178 \h </w:instrText>
            </w:r>
            <w:r w:rsidR="006D5334">
              <w:rPr>
                <w:noProof/>
                <w:webHidden/>
              </w:rPr>
            </w:r>
            <w:r w:rsidR="006D5334">
              <w:rPr>
                <w:noProof/>
                <w:webHidden/>
              </w:rPr>
              <w:fldChar w:fldCharType="separate"/>
            </w:r>
            <w:r w:rsidR="009A5972">
              <w:rPr>
                <w:noProof/>
                <w:webHidden/>
              </w:rPr>
              <w:t>14</w:t>
            </w:r>
            <w:r w:rsidR="006D5334">
              <w:rPr>
                <w:noProof/>
                <w:webHidden/>
              </w:rPr>
              <w:fldChar w:fldCharType="end"/>
            </w:r>
          </w:hyperlink>
        </w:p>
        <w:p w:rsidR="00B93882" w:rsidRDefault="006F2E21">
          <w:pPr>
            <w:pStyle w:val="12"/>
            <w:rPr>
              <w:rFonts w:eastAsiaTheme="minorEastAsia"/>
              <w:noProof/>
            </w:rPr>
          </w:pPr>
          <w:hyperlink w:anchor="_Toc96613179" w:history="1">
            <w:r w:rsidR="00B93882" w:rsidRPr="00970427">
              <w:rPr>
                <w:rStyle w:val="a6"/>
                <w:rFonts w:ascii="Times New Roman" w:hAnsi="Times New Roman" w:cs="Times New Roman"/>
                <w:b/>
                <w:noProof/>
                <w:lang w:val="bg-BG"/>
              </w:rPr>
              <w:t>5.5. Транспорт</w:t>
            </w:r>
            <w:r w:rsidR="00B93882">
              <w:rPr>
                <w:noProof/>
                <w:webHidden/>
              </w:rPr>
              <w:tab/>
            </w:r>
            <w:r w:rsidR="006D5334">
              <w:rPr>
                <w:noProof/>
                <w:webHidden/>
              </w:rPr>
              <w:fldChar w:fldCharType="begin"/>
            </w:r>
            <w:r w:rsidR="00B93882">
              <w:rPr>
                <w:noProof/>
                <w:webHidden/>
              </w:rPr>
              <w:instrText xml:space="preserve"> PAGEREF _Toc96613179 \h </w:instrText>
            </w:r>
            <w:r w:rsidR="006D5334">
              <w:rPr>
                <w:noProof/>
                <w:webHidden/>
              </w:rPr>
            </w:r>
            <w:r w:rsidR="006D5334">
              <w:rPr>
                <w:noProof/>
                <w:webHidden/>
              </w:rPr>
              <w:fldChar w:fldCharType="separate"/>
            </w:r>
            <w:r w:rsidR="009A5972">
              <w:rPr>
                <w:noProof/>
                <w:webHidden/>
              </w:rPr>
              <w:t>15</w:t>
            </w:r>
            <w:r w:rsidR="006D5334">
              <w:rPr>
                <w:noProof/>
                <w:webHidden/>
              </w:rPr>
              <w:fldChar w:fldCharType="end"/>
            </w:r>
          </w:hyperlink>
        </w:p>
        <w:p w:rsidR="00B93882" w:rsidRDefault="006F2E21">
          <w:pPr>
            <w:pStyle w:val="12"/>
            <w:rPr>
              <w:rFonts w:eastAsiaTheme="minorEastAsia"/>
              <w:noProof/>
            </w:rPr>
          </w:pPr>
          <w:hyperlink w:anchor="_Toc96613180" w:history="1">
            <w:r w:rsidR="00B93882" w:rsidRPr="00970427">
              <w:rPr>
                <w:rStyle w:val="a6"/>
                <w:rFonts w:ascii="Times New Roman" w:hAnsi="Times New Roman" w:cs="Times New Roman"/>
                <w:b/>
                <w:noProof/>
                <w:lang w:val="bg-BG"/>
              </w:rPr>
              <w:t>5.6. Селско стопанство</w:t>
            </w:r>
            <w:r w:rsidR="00B93882">
              <w:rPr>
                <w:noProof/>
                <w:webHidden/>
              </w:rPr>
              <w:tab/>
            </w:r>
            <w:r w:rsidR="006D5334">
              <w:rPr>
                <w:noProof/>
                <w:webHidden/>
              </w:rPr>
              <w:fldChar w:fldCharType="begin"/>
            </w:r>
            <w:r w:rsidR="00B93882">
              <w:rPr>
                <w:noProof/>
                <w:webHidden/>
              </w:rPr>
              <w:instrText xml:space="preserve"> PAGEREF _Toc96613180 \h </w:instrText>
            </w:r>
            <w:r w:rsidR="006D5334">
              <w:rPr>
                <w:noProof/>
                <w:webHidden/>
              </w:rPr>
            </w:r>
            <w:r w:rsidR="006D5334">
              <w:rPr>
                <w:noProof/>
                <w:webHidden/>
              </w:rPr>
              <w:fldChar w:fldCharType="separate"/>
            </w:r>
            <w:r w:rsidR="009A5972">
              <w:rPr>
                <w:noProof/>
                <w:webHidden/>
              </w:rPr>
              <w:t>19</w:t>
            </w:r>
            <w:r w:rsidR="006D5334">
              <w:rPr>
                <w:noProof/>
                <w:webHidden/>
              </w:rPr>
              <w:fldChar w:fldCharType="end"/>
            </w:r>
          </w:hyperlink>
        </w:p>
        <w:p w:rsidR="00B93882" w:rsidRDefault="006F2E21">
          <w:pPr>
            <w:pStyle w:val="12"/>
            <w:rPr>
              <w:rFonts w:eastAsiaTheme="minorEastAsia"/>
              <w:noProof/>
            </w:rPr>
          </w:pPr>
          <w:hyperlink w:anchor="_Toc96613181" w:history="1">
            <w:r w:rsidR="00B93882" w:rsidRPr="00970427">
              <w:rPr>
                <w:rStyle w:val="a6"/>
                <w:rFonts w:ascii="Times New Roman" w:hAnsi="Times New Roman" w:cs="Times New Roman"/>
                <w:b/>
                <w:noProof/>
                <w:lang w:val="bg-BG"/>
              </w:rPr>
              <w:t>5.7. Външна осветителна уредба</w:t>
            </w:r>
            <w:r w:rsidR="00B93882">
              <w:rPr>
                <w:noProof/>
                <w:webHidden/>
              </w:rPr>
              <w:tab/>
            </w:r>
            <w:r w:rsidR="006D5334">
              <w:rPr>
                <w:noProof/>
                <w:webHidden/>
              </w:rPr>
              <w:fldChar w:fldCharType="begin"/>
            </w:r>
            <w:r w:rsidR="00B93882">
              <w:rPr>
                <w:noProof/>
                <w:webHidden/>
              </w:rPr>
              <w:instrText xml:space="preserve"> PAGEREF _Toc96613181 \h </w:instrText>
            </w:r>
            <w:r w:rsidR="006D5334">
              <w:rPr>
                <w:noProof/>
                <w:webHidden/>
              </w:rPr>
            </w:r>
            <w:r w:rsidR="006D5334">
              <w:rPr>
                <w:noProof/>
                <w:webHidden/>
              </w:rPr>
              <w:fldChar w:fldCharType="separate"/>
            </w:r>
            <w:r w:rsidR="009A5972">
              <w:rPr>
                <w:noProof/>
                <w:webHidden/>
              </w:rPr>
              <w:t>23</w:t>
            </w:r>
            <w:r w:rsidR="006D5334">
              <w:rPr>
                <w:noProof/>
                <w:webHidden/>
              </w:rPr>
              <w:fldChar w:fldCharType="end"/>
            </w:r>
          </w:hyperlink>
        </w:p>
        <w:p w:rsidR="00B93882" w:rsidRDefault="006F2E21">
          <w:pPr>
            <w:pStyle w:val="12"/>
            <w:rPr>
              <w:rFonts w:eastAsiaTheme="minorEastAsia"/>
              <w:noProof/>
            </w:rPr>
          </w:pPr>
          <w:hyperlink w:anchor="_Toc96613182" w:history="1">
            <w:r w:rsidR="00B93882" w:rsidRPr="00970427">
              <w:rPr>
                <w:rStyle w:val="a6"/>
                <w:rFonts w:ascii="Times New Roman" w:hAnsi="Times New Roman" w:cs="Times New Roman"/>
                <w:b/>
                <w:noProof/>
                <w:lang w:val="bg-BG"/>
              </w:rPr>
              <w:t>6. ВЪЗМОЖНОСТИ ЗА НАСЪРЧАВАНЕ ИЗПОЛЗВАНЕТО НА ЕНЕРГИЯ ОТ ВЪЗОБНОВЯЕМИ ИЗТОЧНИЦИ И БИОГОРИВА. ВРЪЗКИ С ДРУГИ ПРОГРАМИ</w:t>
            </w:r>
            <w:r w:rsidR="00B93882">
              <w:rPr>
                <w:noProof/>
                <w:webHidden/>
              </w:rPr>
              <w:tab/>
            </w:r>
            <w:r w:rsidR="006D5334">
              <w:rPr>
                <w:noProof/>
                <w:webHidden/>
              </w:rPr>
              <w:fldChar w:fldCharType="begin"/>
            </w:r>
            <w:r w:rsidR="00B93882">
              <w:rPr>
                <w:noProof/>
                <w:webHidden/>
              </w:rPr>
              <w:instrText xml:space="preserve"> PAGEREF _Toc96613182 \h </w:instrText>
            </w:r>
            <w:r w:rsidR="006D5334">
              <w:rPr>
                <w:noProof/>
                <w:webHidden/>
              </w:rPr>
            </w:r>
            <w:r w:rsidR="006D5334">
              <w:rPr>
                <w:noProof/>
                <w:webHidden/>
              </w:rPr>
              <w:fldChar w:fldCharType="separate"/>
            </w:r>
            <w:r w:rsidR="009A5972">
              <w:rPr>
                <w:noProof/>
                <w:webHidden/>
              </w:rPr>
              <w:t>23</w:t>
            </w:r>
            <w:r w:rsidR="006D5334">
              <w:rPr>
                <w:noProof/>
                <w:webHidden/>
              </w:rPr>
              <w:fldChar w:fldCharType="end"/>
            </w:r>
          </w:hyperlink>
        </w:p>
        <w:p w:rsidR="00B93882" w:rsidRDefault="006F2E21">
          <w:pPr>
            <w:pStyle w:val="12"/>
            <w:rPr>
              <w:rFonts w:eastAsiaTheme="minorEastAsia"/>
              <w:noProof/>
            </w:rPr>
          </w:pPr>
          <w:hyperlink w:anchor="_Toc96613183" w:history="1">
            <w:r w:rsidR="00B93882" w:rsidRPr="00970427">
              <w:rPr>
                <w:rStyle w:val="a6"/>
                <w:rFonts w:ascii="Times New Roman" w:hAnsi="Times New Roman" w:cs="Times New Roman"/>
                <w:b/>
                <w:noProof/>
                <w:lang w:val="bg-BG"/>
              </w:rPr>
              <w:t>7. ОПРЕДЕЛЯНЕ НА ПОТЕНЦИАЛА И ВЪЗМОЖНОСТИТЕ ЗА ИЗПОЛЗВАНЕ НА ЕНЕРГИЯ ОТ ВЪЗОБНОВЯЕМИ ИЗТОЧНИЦИ И БИОГОРИВА ПО ВИДОВЕ РЕСУРСИ</w:t>
            </w:r>
            <w:r w:rsidR="00B93882">
              <w:rPr>
                <w:noProof/>
                <w:webHidden/>
              </w:rPr>
              <w:tab/>
            </w:r>
            <w:r w:rsidR="006D5334">
              <w:rPr>
                <w:noProof/>
                <w:webHidden/>
              </w:rPr>
              <w:fldChar w:fldCharType="begin"/>
            </w:r>
            <w:r w:rsidR="00B93882">
              <w:rPr>
                <w:noProof/>
                <w:webHidden/>
              </w:rPr>
              <w:instrText xml:space="preserve"> PAGEREF _Toc96613183 \h </w:instrText>
            </w:r>
            <w:r w:rsidR="006D5334">
              <w:rPr>
                <w:noProof/>
                <w:webHidden/>
              </w:rPr>
            </w:r>
            <w:r w:rsidR="006D5334">
              <w:rPr>
                <w:noProof/>
                <w:webHidden/>
              </w:rPr>
              <w:fldChar w:fldCharType="separate"/>
            </w:r>
            <w:r w:rsidR="009A5972">
              <w:rPr>
                <w:noProof/>
                <w:webHidden/>
              </w:rPr>
              <w:t>24</w:t>
            </w:r>
            <w:r w:rsidR="006D5334">
              <w:rPr>
                <w:noProof/>
                <w:webHidden/>
              </w:rPr>
              <w:fldChar w:fldCharType="end"/>
            </w:r>
          </w:hyperlink>
        </w:p>
        <w:p w:rsidR="00B93882" w:rsidRDefault="006F2E21">
          <w:pPr>
            <w:pStyle w:val="12"/>
            <w:rPr>
              <w:rFonts w:eastAsiaTheme="minorEastAsia"/>
              <w:noProof/>
            </w:rPr>
          </w:pPr>
          <w:hyperlink w:anchor="_Toc96613184" w:history="1">
            <w:r w:rsidR="00B93882" w:rsidRPr="00970427">
              <w:rPr>
                <w:rStyle w:val="a6"/>
                <w:rFonts w:ascii="Times New Roman" w:hAnsi="Times New Roman" w:cs="Times New Roman"/>
                <w:b/>
                <w:noProof/>
                <w:lang w:val="bg-BG"/>
              </w:rPr>
              <w:t>7.1  Слънчева енергия</w:t>
            </w:r>
            <w:r w:rsidR="00B93882">
              <w:rPr>
                <w:noProof/>
                <w:webHidden/>
              </w:rPr>
              <w:tab/>
            </w:r>
            <w:r w:rsidR="006D5334">
              <w:rPr>
                <w:noProof/>
                <w:webHidden/>
              </w:rPr>
              <w:fldChar w:fldCharType="begin"/>
            </w:r>
            <w:r w:rsidR="00B93882">
              <w:rPr>
                <w:noProof/>
                <w:webHidden/>
              </w:rPr>
              <w:instrText xml:space="preserve"> PAGEREF _Toc96613184 \h </w:instrText>
            </w:r>
            <w:r w:rsidR="006D5334">
              <w:rPr>
                <w:noProof/>
                <w:webHidden/>
              </w:rPr>
            </w:r>
            <w:r w:rsidR="006D5334">
              <w:rPr>
                <w:noProof/>
                <w:webHidden/>
              </w:rPr>
              <w:fldChar w:fldCharType="separate"/>
            </w:r>
            <w:r w:rsidR="009A5972">
              <w:rPr>
                <w:noProof/>
                <w:webHidden/>
              </w:rPr>
              <w:t>24</w:t>
            </w:r>
            <w:r w:rsidR="006D5334">
              <w:rPr>
                <w:noProof/>
                <w:webHidden/>
              </w:rPr>
              <w:fldChar w:fldCharType="end"/>
            </w:r>
          </w:hyperlink>
        </w:p>
        <w:p w:rsidR="00B93882" w:rsidRDefault="006F2E21">
          <w:pPr>
            <w:pStyle w:val="12"/>
            <w:rPr>
              <w:rFonts w:eastAsiaTheme="minorEastAsia"/>
              <w:noProof/>
            </w:rPr>
          </w:pPr>
          <w:hyperlink w:anchor="_Toc96613185" w:history="1">
            <w:r w:rsidR="00B93882" w:rsidRPr="00970427">
              <w:rPr>
                <w:rStyle w:val="a6"/>
                <w:rFonts w:ascii="Times New Roman" w:hAnsi="Times New Roman" w:cs="Times New Roman"/>
                <w:b/>
                <w:noProof/>
                <w:lang w:val="bg-BG"/>
              </w:rPr>
              <w:t>7.2 Вятърна енергия</w:t>
            </w:r>
            <w:r w:rsidR="00B93882">
              <w:rPr>
                <w:noProof/>
                <w:webHidden/>
              </w:rPr>
              <w:tab/>
            </w:r>
            <w:r w:rsidR="006D5334">
              <w:rPr>
                <w:noProof/>
                <w:webHidden/>
              </w:rPr>
              <w:fldChar w:fldCharType="begin"/>
            </w:r>
            <w:r w:rsidR="00B93882">
              <w:rPr>
                <w:noProof/>
                <w:webHidden/>
              </w:rPr>
              <w:instrText xml:space="preserve"> PAGEREF _Toc96613185 \h </w:instrText>
            </w:r>
            <w:r w:rsidR="006D5334">
              <w:rPr>
                <w:noProof/>
                <w:webHidden/>
              </w:rPr>
            </w:r>
            <w:r w:rsidR="006D5334">
              <w:rPr>
                <w:noProof/>
                <w:webHidden/>
              </w:rPr>
              <w:fldChar w:fldCharType="separate"/>
            </w:r>
            <w:r w:rsidR="009A5972">
              <w:rPr>
                <w:noProof/>
                <w:webHidden/>
              </w:rPr>
              <w:t>27</w:t>
            </w:r>
            <w:r w:rsidR="006D5334">
              <w:rPr>
                <w:noProof/>
                <w:webHidden/>
              </w:rPr>
              <w:fldChar w:fldCharType="end"/>
            </w:r>
          </w:hyperlink>
        </w:p>
        <w:p w:rsidR="00B93882" w:rsidRDefault="006F2E21">
          <w:pPr>
            <w:pStyle w:val="12"/>
            <w:rPr>
              <w:rFonts w:eastAsiaTheme="minorEastAsia"/>
              <w:noProof/>
            </w:rPr>
          </w:pPr>
          <w:hyperlink w:anchor="_Toc96613186" w:history="1">
            <w:r w:rsidR="00B93882" w:rsidRPr="00970427">
              <w:rPr>
                <w:rStyle w:val="a6"/>
                <w:rFonts w:ascii="Times New Roman" w:hAnsi="Times New Roman" w:cs="Times New Roman"/>
                <w:b/>
                <w:noProof/>
                <w:lang w:val="bg-BG"/>
              </w:rPr>
              <w:t>7.3 Водна енергия</w:t>
            </w:r>
            <w:r w:rsidR="00B93882">
              <w:rPr>
                <w:noProof/>
                <w:webHidden/>
              </w:rPr>
              <w:tab/>
            </w:r>
            <w:r w:rsidR="006D5334">
              <w:rPr>
                <w:noProof/>
                <w:webHidden/>
              </w:rPr>
              <w:fldChar w:fldCharType="begin"/>
            </w:r>
            <w:r w:rsidR="00B93882">
              <w:rPr>
                <w:noProof/>
                <w:webHidden/>
              </w:rPr>
              <w:instrText xml:space="preserve"> PAGEREF _Toc96613186 \h </w:instrText>
            </w:r>
            <w:r w:rsidR="006D5334">
              <w:rPr>
                <w:noProof/>
                <w:webHidden/>
              </w:rPr>
            </w:r>
            <w:r w:rsidR="006D5334">
              <w:rPr>
                <w:noProof/>
                <w:webHidden/>
              </w:rPr>
              <w:fldChar w:fldCharType="separate"/>
            </w:r>
            <w:r w:rsidR="009A5972">
              <w:rPr>
                <w:noProof/>
                <w:webHidden/>
              </w:rPr>
              <w:t>28</w:t>
            </w:r>
            <w:r w:rsidR="006D5334">
              <w:rPr>
                <w:noProof/>
                <w:webHidden/>
              </w:rPr>
              <w:fldChar w:fldCharType="end"/>
            </w:r>
          </w:hyperlink>
        </w:p>
        <w:p w:rsidR="00B93882" w:rsidRDefault="006F2E21">
          <w:pPr>
            <w:pStyle w:val="12"/>
            <w:rPr>
              <w:rFonts w:eastAsiaTheme="minorEastAsia"/>
              <w:noProof/>
            </w:rPr>
          </w:pPr>
          <w:hyperlink w:anchor="_Toc96613187" w:history="1">
            <w:r w:rsidR="00B93882" w:rsidRPr="00970427">
              <w:rPr>
                <w:rStyle w:val="a6"/>
                <w:rFonts w:ascii="Times New Roman" w:hAnsi="Times New Roman" w:cs="Times New Roman"/>
                <w:b/>
                <w:noProof/>
                <w:lang w:val="bg-BG"/>
              </w:rPr>
              <w:t>7.4 Геотермална енергия</w:t>
            </w:r>
            <w:r w:rsidR="00B93882">
              <w:rPr>
                <w:noProof/>
                <w:webHidden/>
              </w:rPr>
              <w:tab/>
            </w:r>
            <w:r w:rsidR="006D5334">
              <w:rPr>
                <w:noProof/>
                <w:webHidden/>
              </w:rPr>
              <w:fldChar w:fldCharType="begin"/>
            </w:r>
            <w:r w:rsidR="00B93882">
              <w:rPr>
                <w:noProof/>
                <w:webHidden/>
              </w:rPr>
              <w:instrText xml:space="preserve"> PAGEREF _Toc96613187 \h </w:instrText>
            </w:r>
            <w:r w:rsidR="006D5334">
              <w:rPr>
                <w:noProof/>
                <w:webHidden/>
              </w:rPr>
            </w:r>
            <w:r w:rsidR="006D5334">
              <w:rPr>
                <w:noProof/>
                <w:webHidden/>
              </w:rPr>
              <w:fldChar w:fldCharType="separate"/>
            </w:r>
            <w:r w:rsidR="009A5972">
              <w:rPr>
                <w:noProof/>
                <w:webHidden/>
              </w:rPr>
              <w:t>32</w:t>
            </w:r>
            <w:r w:rsidR="006D5334">
              <w:rPr>
                <w:noProof/>
                <w:webHidden/>
              </w:rPr>
              <w:fldChar w:fldCharType="end"/>
            </w:r>
          </w:hyperlink>
        </w:p>
        <w:p w:rsidR="00B93882" w:rsidRDefault="006F2E21">
          <w:pPr>
            <w:pStyle w:val="12"/>
            <w:rPr>
              <w:rFonts w:eastAsiaTheme="minorEastAsia"/>
              <w:noProof/>
            </w:rPr>
          </w:pPr>
          <w:hyperlink w:anchor="_Toc96613188" w:history="1">
            <w:r w:rsidR="00B93882" w:rsidRPr="00970427">
              <w:rPr>
                <w:rStyle w:val="a6"/>
                <w:rFonts w:ascii="Times New Roman" w:hAnsi="Times New Roman" w:cs="Times New Roman"/>
                <w:b/>
                <w:noProof/>
                <w:lang w:val="bg-BG"/>
              </w:rPr>
              <w:t>7.5 Енергия от биомаса</w:t>
            </w:r>
            <w:r w:rsidR="00B93882">
              <w:rPr>
                <w:noProof/>
                <w:webHidden/>
              </w:rPr>
              <w:tab/>
            </w:r>
            <w:r w:rsidR="006D5334">
              <w:rPr>
                <w:noProof/>
                <w:webHidden/>
              </w:rPr>
              <w:fldChar w:fldCharType="begin"/>
            </w:r>
            <w:r w:rsidR="00B93882">
              <w:rPr>
                <w:noProof/>
                <w:webHidden/>
              </w:rPr>
              <w:instrText xml:space="preserve"> PAGEREF _Toc96613188 \h </w:instrText>
            </w:r>
            <w:r w:rsidR="006D5334">
              <w:rPr>
                <w:noProof/>
                <w:webHidden/>
              </w:rPr>
            </w:r>
            <w:r w:rsidR="006D5334">
              <w:rPr>
                <w:noProof/>
                <w:webHidden/>
              </w:rPr>
              <w:fldChar w:fldCharType="separate"/>
            </w:r>
            <w:r w:rsidR="009A5972">
              <w:rPr>
                <w:noProof/>
                <w:webHidden/>
              </w:rPr>
              <w:t>32</w:t>
            </w:r>
            <w:r w:rsidR="006D5334">
              <w:rPr>
                <w:noProof/>
                <w:webHidden/>
              </w:rPr>
              <w:fldChar w:fldCharType="end"/>
            </w:r>
          </w:hyperlink>
        </w:p>
        <w:p w:rsidR="00B93882" w:rsidRDefault="006F2E21">
          <w:pPr>
            <w:pStyle w:val="12"/>
            <w:rPr>
              <w:rFonts w:eastAsiaTheme="minorEastAsia"/>
              <w:noProof/>
            </w:rPr>
          </w:pPr>
          <w:hyperlink w:anchor="_Toc96613189" w:history="1">
            <w:r w:rsidR="00B93882" w:rsidRPr="00970427">
              <w:rPr>
                <w:rStyle w:val="a6"/>
                <w:rFonts w:ascii="Times New Roman" w:hAnsi="Times New Roman" w:cs="Times New Roman"/>
                <w:b/>
                <w:noProof/>
                <w:lang w:val="bg-BG"/>
              </w:rPr>
              <w:t>7.6 Използване на биогорива и възобновяеми източници в транспорта</w:t>
            </w:r>
            <w:r w:rsidR="00B93882">
              <w:rPr>
                <w:noProof/>
                <w:webHidden/>
              </w:rPr>
              <w:tab/>
            </w:r>
            <w:r w:rsidR="006D5334">
              <w:rPr>
                <w:noProof/>
                <w:webHidden/>
              </w:rPr>
              <w:fldChar w:fldCharType="begin"/>
            </w:r>
            <w:r w:rsidR="00B93882">
              <w:rPr>
                <w:noProof/>
                <w:webHidden/>
              </w:rPr>
              <w:instrText xml:space="preserve"> PAGEREF _Toc96613189 \h </w:instrText>
            </w:r>
            <w:r w:rsidR="006D5334">
              <w:rPr>
                <w:noProof/>
                <w:webHidden/>
              </w:rPr>
            </w:r>
            <w:r w:rsidR="006D5334">
              <w:rPr>
                <w:noProof/>
                <w:webHidden/>
              </w:rPr>
              <w:fldChar w:fldCharType="separate"/>
            </w:r>
            <w:r w:rsidR="009A5972">
              <w:rPr>
                <w:noProof/>
                <w:webHidden/>
              </w:rPr>
              <w:t>36</w:t>
            </w:r>
            <w:r w:rsidR="006D5334">
              <w:rPr>
                <w:noProof/>
                <w:webHidden/>
              </w:rPr>
              <w:fldChar w:fldCharType="end"/>
            </w:r>
          </w:hyperlink>
        </w:p>
        <w:p w:rsidR="00B93882" w:rsidRDefault="006F2E21">
          <w:pPr>
            <w:pStyle w:val="12"/>
            <w:rPr>
              <w:rFonts w:eastAsiaTheme="minorEastAsia"/>
              <w:noProof/>
            </w:rPr>
          </w:pPr>
          <w:hyperlink w:anchor="_Toc96613190" w:history="1">
            <w:r w:rsidR="00B93882" w:rsidRPr="00970427">
              <w:rPr>
                <w:rStyle w:val="a6"/>
                <w:rFonts w:ascii="Times New Roman" w:hAnsi="Times New Roman" w:cs="Times New Roman"/>
                <w:b/>
                <w:noProof/>
                <w:lang w:val="bg-BG"/>
              </w:rPr>
              <w:t>8. ИЗБОР НА МЕРКИ, ЗАЛОЖЕНИ В НПДЕВИ</w:t>
            </w:r>
            <w:r w:rsidR="00B93882">
              <w:rPr>
                <w:noProof/>
                <w:webHidden/>
              </w:rPr>
              <w:tab/>
            </w:r>
            <w:r w:rsidR="006D5334">
              <w:rPr>
                <w:noProof/>
                <w:webHidden/>
              </w:rPr>
              <w:fldChar w:fldCharType="begin"/>
            </w:r>
            <w:r w:rsidR="00B93882">
              <w:rPr>
                <w:noProof/>
                <w:webHidden/>
              </w:rPr>
              <w:instrText xml:space="preserve"> PAGEREF _Toc96613190 \h </w:instrText>
            </w:r>
            <w:r w:rsidR="006D5334">
              <w:rPr>
                <w:noProof/>
                <w:webHidden/>
              </w:rPr>
            </w:r>
            <w:r w:rsidR="006D5334">
              <w:rPr>
                <w:noProof/>
                <w:webHidden/>
              </w:rPr>
              <w:fldChar w:fldCharType="separate"/>
            </w:r>
            <w:r w:rsidR="009A5972">
              <w:rPr>
                <w:noProof/>
                <w:webHidden/>
              </w:rPr>
              <w:t>37</w:t>
            </w:r>
            <w:r w:rsidR="006D5334">
              <w:rPr>
                <w:noProof/>
                <w:webHidden/>
              </w:rPr>
              <w:fldChar w:fldCharType="end"/>
            </w:r>
          </w:hyperlink>
        </w:p>
        <w:p w:rsidR="00B93882" w:rsidRDefault="006F2E21">
          <w:pPr>
            <w:pStyle w:val="12"/>
            <w:rPr>
              <w:rFonts w:eastAsiaTheme="minorEastAsia"/>
              <w:noProof/>
            </w:rPr>
          </w:pPr>
          <w:hyperlink w:anchor="_Toc96613191" w:history="1">
            <w:r w:rsidR="00B93882" w:rsidRPr="00970427">
              <w:rPr>
                <w:rStyle w:val="a6"/>
                <w:rFonts w:ascii="Times New Roman" w:hAnsi="Times New Roman" w:cs="Times New Roman"/>
                <w:b/>
                <w:noProof/>
                <w:lang w:val="bg-BG"/>
              </w:rPr>
              <w:t>8.1 Административни мерки</w:t>
            </w:r>
            <w:r w:rsidR="00B93882">
              <w:rPr>
                <w:noProof/>
                <w:webHidden/>
              </w:rPr>
              <w:tab/>
            </w:r>
            <w:r w:rsidR="006D5334">
              <w:rPr>
                <w:noProof/>
                <w:webHidden/>
              </w:rPr>
              <w:fldChar w:fldCharType="begin"/>
            </w:r>
            <w:r w:rsidR="00B93882">
              <w:rPr>
                <w:noProof/>
                <w:webHidden/>
              </w:rPr>
              <w:instrText xml:space="preserve"> PAGEREF _Toc96613191 \h </w:instrText>
            </w:r>
            <w:r w:rsidR="006D5334">
              <w:rPr>
                <w:noProof/>
                <w:webHidden/>
              </w:rPr>
            </w:r>
            <w:r w:rsidR="006D5334">
              <w:rPr>
                <w:noProof/>
                <w:webHidden/>
              </w:rPr>
              <w:fldChar w:fldCharType="separate"/>
            </w:r>
            <w:r w:rsidR="009A5972">
              <w:rPr>
                <w:noProof/>
                <w:webHidden/>
              </w:rPr>
              <w:t>37</w:t>
            </w:r>
            <w:r w:rsidR="006D5334">
              <w:rPr>
                <w:noProof/>
                <w:webHidden/>
              </w:rPr>
              <w:fldChar w:fldCharType="end"/>
            </w:r>
          </w:hyperlink>
        </w:p>
        <w:p w:rsidR="00B93882" w:rsidRDefault="006F2E21">
          <w:pPr>
            <w:pStyle w:val="12"/>
            <w:rPr>
              <w:rFonts w:eastAsiaTheme="minorEastAsia"/>
              <w:noProof/>
            </w:rPr>
          </w:pPr>
          <w:hyperlink w:anchor="_Toc96613196" w:history="1">
            <w:r w:rsidR="00B93882" w:rsidRPr="00970427">
              <w:rPr>
                <w:rStyle w:val="a6"/>
                <w:rFonts w:ascii="Times New Roman" w:hAnsi="Times New Roman" w:cs="Times New Roman"/>
                <w:b/>
                <w:noProof/>
                <w:lang w:val="bg-BG"/>
              </w:rPr>
              <w:t>8.2 Финансово-технически мерки</w:t>
            </w:r>
            <w:r w:rsidR="00B93882">
              <w:rPr>
                <w:noProof/>
                <w:webHidden/>
              </w:rPr>
              <w:tab/>
            </w:r>
            <w:r w:rsidR="006D5334">
              <w:rPr>
                <w:noProof/>
                <w:webHidden/>
              </w:rPr>
              <w:fldChar w:fldCharType="begin"/>
            </w:r>
            <w:r w:rsidR="00B93882">
              <w:rPr>
                <w:noProof/>
                <w:webHidden/>
              </w:rPr>
              <w:instrText xml:space="preserve"> PAGEREF _Toc96613196 \h </w:instrText>
            </w:r>
            <w:r w:rsidR="006D5334">
              <w:rPr>
                <w:noProof/>
                <w:webHidden/>
              </w:rPr>
            </w:r>
            <w:r w:rsidR="006D5334">
              <w:rPr>
                <w:noProof/>
                <w:webHidden/>
              </w:rPr>
              <w:fldChar w:fldCharType="separate"/>
            </w:r>
            <w:r w:rsidR="009A5972">
              <w:rPr>
                <w:noProof/>
                <w:webHidden/>
              </w:rPr>
              <w:t>37</w:t>
            </w:r>
            <w:r w:rsidR="006D5334">
              <w:rPr>
                <w:noProof/>
                <w:webHidden/>
              </w:rPr>
              <w:fldChar w:fldCharType="end"/>
            </w:r>
          </w:hyperlink>
        </w:p>
        <w:p w:rsidR="00B93882" w:rsidRDefault="006F2E21">
          <w:pPr>
            <w:pStyle w:val="12"/>
            <w:rPr>
              <w:rFonts w:eastAsiaTheme="minorEastAsia"/>
              <w:noProof/>
            </w:rPr>
          </w:pPr>
          <w:hyperlink w:anchor="_Toc96613197" w:history="1">
            <w:r w:rsidR="00B93882" w:rsidRPr="00970427">
              <w:rPr>
                <w:rStyle w:val="a6"/>
                <w:rFonts w:ascii="Times New Roman" w:hAnsi="Times New Roman" w:cs="Times New Roman"/>
                <w:b/>
                <w:noProof/>
                <w:lang w:val="bg-BG"/>
              </w:rPr>
              <w:t>8.3 Източници и схеми на финансиране:</w:t>
            </w:r>
            <w:r w:rsidR="00B93882">
              <w:rPr>
                <w:noProof/>
                <w:webHidden/>
              </w:rPr>
              <w:tab/>
            </w:r>
            <w:r w:rsidR="006D5334">
              <w:rPr>
                <w:noProof/>
                <w:webHidden/>
              </w:rPr>
              <w:fldChar w:fldCharType="begin"/>
            </w:r>
            <w:r w:rsidR="00B93882">
              <w:rPr>
                <w:noProof/>
                <w:webHidden/>
              </w:rPr>
              <w:instrText xml:space="preserve"> PAGEREF _Toc96613197 \h </w:instrText>
            </w:r>
            <w:r w:rsidR="006D5334">
              <w:rPr>
                <w:noProof/>
                <w:webHidden/>
              </w:rPr>
            </w:r>
            <w:r w:rsidR="006D5334">
              <w:rPr>
                <w:noProof/>
                <w:webHidden/>
              </w:rPr>
              <w:fldChar w:fldCharType="separate"/>
            </w:r>
            <w:r w:rsidR="009A5972">
              <w:rPr>
                <w:noProof/>
                <w:webHidden/>
              </w:rPr>
              <w:t>38</w:t>
            </w:r>
            <w:r w:rsidR="006D5334">
              <w:rPr>
                <w:noProof/>
                <w:webHidden/>
              </w:rPr>
              <w:fldChar w:fldCharType="end"/>
            </w:r>
          </w:hyperlink>
        </w:p>
        <w:p w:rsidR="00B93882" w:rsidRDefault="006F2E21">
          <w:pPr>
            <w:pStyle w:val="12"/>
            <w:rPr>
              <w:rFonts w:eastAsiaTheme="minorEastAsia"/>
              <w:noProof/>
            </w:rPr>
          </w:pPr>
          <w:hyperlink w:anchor="_Toc96613198" w:history="1">
            <w:r w:rsidR="00B93882" w:rsidRPr="00970427">
              <w:rPr>
                <w:rStyle w:val="a6"/>
                <w:rFonts w:ascii="Times New Roman" w:hAnsi="Times New Roman" w:cs="Times New Roman"/>
                <w:b/>
                <w:noProof/>
                <w:lang w:val="bg-BG"/>
              </w:rPr>
              <w:t>9. НАБЛЮДЕНИЕ И ОЦЕНКА ОТ РЕАЛИЗИРАНИ ПРОЕКТИ</w:t>
            </w:r>
            <w:r w:rsidR="00B93882">
              <w:rPr>
                <w:noProof/>
                <w:webHidden/>
              </w:rPr>
              <w:tab/>
            </w:r>
            <w:r w:rsidR="006D5334">
              <w:rPr>
                <w:noProof/>
                <w:webHidden/>
              </w:rPr>
              <w:fldChar w:fldCharType="begin"/>
            </w:r>
            <w:r w:rsidR="00B93882">
              <w:rPr>
                <w:noProof/>
                <w:webHidden/>
              </w:rPr>
              <w:instrText xml:space="preserve"> PAGEREF _Toc96613198 \h </w:instrText>
            </w:r>
            <w:r w:rsidR="006D5334">
              <w:rPr>
                <w:noProof/>
                <w:webHidden/>
              </w:rPr>
            </w:r>
            <w:r w:rsidR="006D5334">
              <w:rPr>
                <w:noProof/>
                <w:webHidden/>
              </w:rPr>
              <w:fldChar w:fldCharType="separate"/>
            </w:r>
            <w:r w:rsidR="009A5972">
              <w:rPr>
                <w:noProof/>
                <w:webHidden/>
              </w:rPr>
              <w:t>39</w:t>
            </w:r>
            <w:r w:rsidR="006D5334">
              <w:rPr>
                <w:noProof/>
                <w:webHidden/>
              </w:rPr>
              <w:fldChar w:fldCharType="end"/>
            </w:r>
          </w:hyperlink>
        </w:p>
        <w:p w:rsidR="00B93882" w:rsidRDefault="006F2E21">
          <w:pPr>
            <w:pStyle w:val="12"/>
            <w:rPr>
              <w:rFonts w:eastAsiaTheme="minorEastAsia"/>
              <w:noProof/>
            </w:rPr>
          </w:pPr>
          <w:hyperlink w:anchor="_Toc96613199" w:history="1">
            <w:r w:rsidR="00B93882" w:rsidRPr="00970427">
              <w:rPr>
                <w:rStyle w:val="a6"/>
                <w:rFonts w:ascii="Times New Roman" w:hAnsi="Times New Roman" w:cs="Times New Roman"/>
                <w:b/>
                <w:noProof/>
                <w:lang w:val="bg-BG"/>
              </w:rPr>
              <w:t>10. ЗАКЛЮЧЕНИЕ</w:t>
            </w:r>
            <w:r w:rsidR="00B93882">
              <w:rPr>
                <w:noProof/>
                <w:webHidden/>
              </w:rPr>
              <w:tab/>
            </w:r>
            <w:r w:rsidR="006D5334">
              <w:rPr>
                <w:noProof/>
                <w:webHidden/>
              </w:rPr>
              <w:fldChar w:fldCharType="begin"/>
            </w:r>
            <w:r w:rsidR="00B93882">
              <w:rPr>
                <w:noProof/>
                <w:webHidden/>
              </w:rPr>
              <w:instrText xml:space="preserve"> PAGEREF _Toc96613199 \h </w:instrText>
            </w:r>
            <w:r w:rsidR="006D5334">
              <w:rPr>
                <w:noProof/>
                <w:webHidden/>
              </w:rPr>
            </w:r>
            <w:r w:rsidR="006D5334">
              <w:rPr>
                <w:noProof/>
                <w:webHidden/>
              </w:rPr>
              <w:fldChar w:fldCharType="separate"/>
            </w:r>
            <w:r w:rsidR="009A5972">
              <w:rPr>
                <w:noProof/>
                <w:webHidden/>
              </w:rPr>
              <w:t>41</w:t>
            </w:r>
            <w:r w:rsidR="006D5334">
              <w:rPr>
                <w:noProof/>
                <w:webHidden/>
              </w:rPr>
              <w:fldChar w:fldCharType="end"/>
            </w:r>
          </w:hyperlink>
        </w:p>
        <w:p w:rsidR="005D0C17" w:rsidRPr="00B93882" w:rsidRDefault="006D5334" w:rsidP="00B93882">
          <w:pPr>
            <w:spacing w:after="0"/>
            <w:jc w:val="both"/>
            <w:rPr>
              <w:lang w:val="bg-BG"/>
            </w:rPr>
          </w:pPr>
          <w:r w:rsidRPr="00E87C2C">
            <w:rPr>
              <w:rFonts w:ascii="Times New Roman" w:hAnsi="Times New Roman" w:cs="Times New Roman"/>
              <w:b/>
              <w:bCs/>
              <w:noProof/>
              <w:sz w:val="24"/>
              <w:szCs w:val="24"/>
              <w:lang w:val="bg-BG"/>
            </w:rPr>
            <w:fldChar w:fldCharType="end"/>
          </w:r>
        </w:p>
      </w:sdtContent>
    </w:sdt>
    <w:p w:rsidR="005D0C17" w:rsidRPr="00BE2B92" w:rsidRDefault="005D0C17" w:rsidP="00FB409E">
      <w:pPr>
        <w:pStyle w:val="10"/>
        <w:numPr>
          <w:ilvl w:val="0"/>
          <w:numId w:val="1"/>
        </w:numPr>
        <w:spacing w:before="0" w:line="360" w:lineRule="auto"/>
        <w:jc w:val="both"/>
        <w:rPr>
          <w:rFonts w:ascii="Times New Roman" w:hAnsi="Times New Roman" w:cs="Times New Roman"/>
          <w:b/>
          <w:color w:val="auto"/>
          <w:sz w:val="28"/>
          <w:szCs w:val="28"/>
          <w:lang w:val="bg-BG"/>
        </w:rPr>
      </w:pPr>
      <w:bookmarkStart w:id="0" w:name="_Toc96613169"/>
      <w:r w:rsidRPr="00BE2B92">
        <w:rPr>
          <w:rFonts w:ascii="Times New Roman" w:hAnsi="Times New Roman" w:cs="Times New Roman"/>
          <w:b/>
          <w:color w:val="auto"/>
          <w:sz w:val="28"/>
          <w:szCs w:val="28"/>
          <w:lang w:val="bg-BG"/>
        </w:rPr>
        <w:lastRenderedPageBreak/>
        <w:t>ОСНОВАНИЕ ЗА РАЗРАБОТВАНЕ</w:t>
      </w:r>
      <w:bookmarkEnd w:id="0"/>
      <w:r w:rsidRPr="00BE2B92">
        <w:rPr>
          <w:rFonts w:ascii="Times New Roman" w:hAnsi="Times New Roman" w:cs="Times New Roman"/>
          <w:b/>
          <w:color w:val="auto"/>
          <w:sz w:val="28"/>
          <w:szCs w:val="28"/>
          <w:lang w:val="bg-BG"/>
        </w:rPr>
        <w:t xml:space="preserve"> </w:t>
      </w:r>
    </w:p>
    <w:p w:rsidR="005D0C17" w:rsidRPr="00BE2B92" w:rsidRDefault="005D0C17" w:rsidP="00FB409E">
      <w:pPr>
        <w:pStyle w:val="Default"/>
        <w:spacing w:line="360" w:lineRule="auto"/>
        <w:rPr>
          <w:lang w:val="bg-BG"/>
        </w:rPr>
      </w:pPr>
    </w:p>
    <w:p w:rsidR="005D0C17" w:rsidRPr="00BE2B92" w:rsidRDefault="005D0C17" w:rsidP="00FB409E">
      <w:pPr>
        <w:spacing w:after="0" w:line="360" w:lineRule="auto"/>
        <w:ind w:firstLine="709"/>
        <w:jc w:val="both"/>
        <w:rPr>
          <w:rFonts w:ascii="Times New Roman" w:hAnsi="Times New Roman" w:cs="Times New Roman"/>
          <w:sz w:val="28"/>
          <w:szCs w:val="28"/>
          <w:lang w:val="bg-BG"/>
        </w:rPr>
      </w:pPr>
      <w:r w:rsidRPr="00BE2B92">
        <w:rPr>
          <w:lang w:val="bg-BG"/>
        </w:rPr>
        <w:t xml:space="preserve"> </w:t>
      </w:r>
      <w:r w:rsidRPr="00BE2B92">
        <w:rPr>
          <w:rFonts w:ascii="Times New Roman" w:hAnsi="Times New Roman" w:cs="Times New Roman"/>
          <w:sz w:val="28"/>
          <w:szCs w:val="28"/>
          <w:lang w:val="bg-BG"/>
        </w:rPr>
        <w:t xml:space="preserve">Съгласно чл. 10, ал. 1 и ал. 2 от Закон за енергията от възобновяеми източници (ЗЕВИ) кметовете на общини разработват общински краткосрочни и дългосрочни програми за използването на енергията от възобновяеми източници и биогорива в съответствие с Национален план за действие за енергията от възобновяеми източници (НПДЕВИ). </w:t>
      </w:r>
    </w:p>
    <w:p w:rsidR="005D0C17" w:rsidRPr="00BE2B92" w:rsidRDefault="005D0C17" w:rsidP="00FB409E">
      <w:pPr>
        <w:spacing w:after="0" w:line="360" w:lineRule="auto"/>
        <w:ind w:firstLine="709"/>
        <w:jc w:val="both"/>
        <w:rPr>
          <w:rFonts w:ascii="Times New Roman" w:hAnsi="Times New Roman" w:cs="Times New Roman"/>
          <w:sz w:val="28"/>
          <w:szCs w:val="28"/>
          <w:lang w:val="bg-BG"/>
        </w:rPr>
      </w:pPr>
      <w:r w:rsidRPr="00BE2B92">
        <w:rPr>
          <w:rFonts w:ascii="Times New Roman" w:hAnsi="Times New Roman" w:cs="Times New Roman"/>
          <w:sz w:val="28"/>
          <w:szCs w:val="28"/>
          <w:lang w:val="bg-BG"/>
        </w:rPr>
        <w:t>Програмите се приемат от общинските съвети, по предложение на кмета на съответната община и обхващат период на изпълнение три години (за краткосрочните) и десет години (за дългосрочните програми).</w:t>
      </w:r>
    </w:p>
    <w:p w:rsidR="00DD4C5F" w:rsidRPr="00BE2B92" w:rsidRDefault="00DD4C5F" w:rsidP="00FB409E">
      <w:pPr>
        <w:spacing w:after="0" w:line="360" w:lineRule="auto"/>
        <w:ind w:firstLine="709"/>
        <w:jc w:val="both"/>
        <w:rPr>
          <w:rFonts w:ascii="Times New Roman" w:hAnsi="Times New Roman" w:cs="Times New Roman"/>
          <w:sz w:val="28"/>
          <w:szCs w:val="28"/>
          <w:lang w:val="bg-BG"/>
        </w:rPr>
      </w:pPr>
    </w:p>
    <w:p w:rsidR="005D0C17" w:rsidRPr="00BE2B92" w:rsidRDefault="005D0C17" w:rsidP="00FB409E">
      <w:pPr>
        <w:pStyle w:val="10"/>
        <w:spacing w:before="0" w:line="360" w:lineRule="auto"/>
        <w:ind w:firstLine="709"/>
        <w:jc w:val="both"/>
        <w:rPr>
          <w:rFonts w:ascii="Times New Roman" w:hAnsi="Times New Roman" w:cs="Times New Roman"/>
          <w:b/>
          <w:color w:val="auto"/>
          <w:sz w:val="28"/>
          <w:szCs w:val="28"/>
          <w:lang w:val="bg-BG"/>
        </w:rPr>
      </w:pPr>
      <w:bookmarkStart w:id="1" w:name="_Toc96613170"/>
      <w:r w:rsidRPr="00BE2B92">
        <w:rPr>
          <w:rFonts w:ascii="Times New Roman" w:hAnsi="Times New Roman" w:cs="Times New Roman"/>
          <w:b/>
          <w:color w:val="auto"/>
          <w:sz w:val="28"/>
          <w:szCs w:val="28"/>
          <w:lang w:val="bg-BG"/>
        </w:rPr>
        <w:t>2. ЦЕЛ НА ПРОГРАМАТА</w:t>
      </w:r>
      <w:bookmarkEnd w:id="1"/>
      <w:r w:rsidRPr="00BE2B92">
        <w:rPr>
          <w:rFonts w:ascii="Times New Roman" w:hAnsi="Times New Roman" w:cs="Times New Roman"/>
          <w:b/>
          <w:color w:val="auto"/>
          <w:sz w:val="28"/>
          <w:szCs w:val="28"/>
          <w:lang w:val="bg-BG"/>
        </w:rPr>
        <w:t xml:space="preserve"> </w:t>
      </w:r>
    </w:p>
    <w:p w:rsidR="00DD4C5F" w:rsidRPr="00BE2B92" w:rsidRDefault="00DD4C5F" w:rsidP="00FB409E">
      <w:pPr>
        <w:pStyle w:val="Default"/>
        <w:spacing w:line="360" w:lineRule="auto"/>
        <w:ind w:firstLine="709"/>
        <w:rPr>
          <w:lang w:val="bg-BG"/>
        </w:rPr>
      </w:pPr>
    </w:p>
    <w:p w:rsidR="00DD4C5F" w:rsidRPr="00BE2B92" w:rsidRDefault="00DD4C5F" w:rsidP="00FB409E">
      <w:pPr>
        <w:spacing w:after="0" w:line="360" w:lineRule="auto"/>
        <w:ind w:firstLine="709"/>
        <w:jc w:val="both"/>
        <w:rPr>
          <w:rFonts w:ascii="Times New Roman" w:hAnsi="Times New Roman" w:cs="Times New Roman"/>
          <w:sz w:val="28"/>
          <w:szCs w:val="28"/>
          <w:lang w:val="bg-BG"/>
        </w:rPr>
      </w:pPr>
      <w:r w:rsidRPr="00BE2B92">
        <w:rPr>
          <w:lang w:val="bg-BG"/>
        </w:rPr>
        <w:t xml:space="preserve"> </w:t>
      </w:r>
      <w:r w:rsidRPr="00BE2B92">
        <w:rPr>
          <w:rFonts w:ascii="Times New Roman" w:hAnsi="Times New Roman" w:cs="Times New Roman"/>
          <w:sz w:val="28"/>
          <w:szCs w:val="28"/>
          <w:lang w:val="bg-BG"/>
        </w:rPr>
        <w:t xml:space="preserve">Общинските програми е необходимо да бъдат съобразени с развитието на района за планиране, особеностите, потенциала на общината и действащите общински планове за енергийна ефективност. </w:t>
      </w:r>
    </w:p>
    <w:p w:rsidR="00DD4C5F" w:rsidRDefault="00DD4C5F" w:rsidP="00FB409E">
      <w:pPr>
        <w:spacing w:after="0" w:line="360" w:lineRule="auto"/>
        <w:ind w:firstLine="709"/>
        <w:jc w:val="both"/>
        <w:rPr>
          <w:rFonts w:ascii="Times New Roman" w:hAnsi="Times New Roman" w:cs="Times New Roman"/>
          <w:sz w:val="28"/>
          <w:szCs w:val="28"/>
          <w:lang w:val="bg-BG"/>
        </w:rPr>
      </w:pPr>
      <w:r w:rsidRPr="00BE2B92">
        <w:rPr>
          <w:rFonts w:ascii="Times New Roman" w:hAnsi="Times New Roman" w:cs="Times New Roman"/>
          <w:sz w:val="28"/>
          <w:szCs w:val="28"/>
          <w:lang w:val="bg-BG"/>
        </w:rPr>
        <w:t>Основна цел на програмите е насърчаване използването на енергия от възобновя</w:t>
      </w:r>
      <w:r w:rsidR="00E53F08">
        <w:rPr>
          <w:rFonts w:ascii="Times New Roman" w:hAnsi="Times New Roman" w:cs="Times New Roman"/>
          <w:sz w:val="28"/>
          <w:szCs w:val="28"/>
          <w:lang w:val="bg-BG"/>
        </w:rPr>
        <w:t>еми източници.  З</w:t>
      </w:r>
      <w:r w:rsidR="00A26161">
        <w:rPr>
          <w:rFonts w:ascii="Times New Roman" w:hAnsi="Times New Roman" w:cs="Times New Roman"/>
          <w:sz w:val="28"/>
          <w:szCs w:val="28"/>
          <w:lang w:val="bg-BG"/>
        </w:rPr>
        <w:t>аложено в настоящата програма</w:t>
      </w:r>
      <w:r w:rsidR="00E53F08">
        <w:rPr>
          <w:rFonts w:ascii="Times New Roman" w:hAnsi="Times New Roman" w:cs="Times New Roman"/>
          <w:sz w:val="28"/>
          <w:szCs w:val="28"/>
          <w:lang w:val="bg-BG"/>
        </w:rPr>
        <w:t>, този процес да се постигне</w:t>
      </w:r>
      <w:r w:rsidRPr="00BE2B92">
        <w:rPr>
          <w:rFonts w:ascii="Times New Roman" w:hAnsi="Times New Roman" w:cs="Times New Roman"/>
          <w:sz w:val="28"/>
          <w:szCs w:val="28"/>
          <w:lang w:val="bg-BG"/>
        </w:rPr>
        <w:t xml:space="preserve"> чрез определяне на възможните дейности, мерки и инвести</w:t>
      </w:r>
      <w:r w:rsidR="00A26161">
        <w:rPr>
          <w:rFonts w:ascii="Times New Roman" w:hAnsi="Times New Roman" w:cs="Times New Roman"/>
          <w:sz w:val="28"/>
          <w:szCs w:val="28"/>
          <w:lang w:val="bg-BG"/>
        </w:rPr>
        <w:t>ционните намерения на общината в следните</w:t>
      </w:r>
      <w:r w:rsidRPr="00BE2B92">
        <w:rPr>
          <w:rFonts w:ascii="Times New Roman" w:hAnsi="Times New Roman" w:cs="Times New Roman"/>
          <w:sz w:val="28"/>
          <w:szCs w:val="28"/>
          <w:lang w:val="bg-BG"/>
        </w:rPr>
        <w:t xml:space="preserve"> сектори:</w:t>
      </w:r>
      <w:r w:rsidR="00A26161">
        <w:rPr>
          <w:rFonts w:ascii="Times New Roman" w:hAnsi="Times New Roman" w:cs="Times New Roman"/>
          <w:sz w:val="28"/>
          <w:szCs w:val="28"/>
          <w:lang w:val="bg-BG"/>
        </w:rPr>
        <w:t xml:space="preserve"> обществен с</w:t>
      </w:r>
      <w:r w:rsidR="00A34B4C">
        <w:rPr>
          <w:rFonts w:ascii="Times New Roman" w:hAnsi="Times New Roman" w:cs="Times New Roman"/>
          <w:sz w:val="28"/>
          <w:szCs w:val="28"/>
          <w:lang w:val="bg-BG"/>
        </w:rPr>
        <w:t xml:space="preserve">ектор – администрация, </w:t>
      </w:r>
      <w:r w:rsidRPr="00BE2B92">
        <w:rPr>
          <w:rFonts w:ascii="Times New Roman" w:hAnsi="Times New Roman" w:cs="Times New Roman"/>
          <w:sz w:val="28"/>
          <w:szCs w:val="28"/>
          <w:lang w:val="bg-BG"/>
        </w:rPr>
        <w:t xml:space="preserve">транспорт, </w:t>
      </w:r>
      <w:r w:rsidR="00E53F08">
        <w:rPr>
          <w:rFonts w:ascii="Times New Roman" w:hAnsi="Times New Roman" w:cs="Times New Roman"/>
          <w:sz w:val="28"/>
          <w:szCs w:val="28"/>
          <w:lang w:val="bg-BG"/>
        </w:rPr>
        <w:t xml:space="preserve">обществени </w:t>
      </w:r>
      <w:r w:rsidRPr="00BE2B92">
        <w:rPr>
          <w:rFonts w:ascii="Times New Roman" w:hAnsi="Times New Roman" w:cs="Times New Roman"/>
          <w:sz w:val="28"/>
          <w:szCs w:val="28"/>
          <w:lang w:val="bg-BG"/>
        </w:rPr>
        <w:t>услуги</w:t>
      </w:r>
      <w:r w:rsidR="00A34B4C">
        <w:rPr>
          <w:rFonts w:ascii="Times New Roman" w:hAnsi="Times New Roman" w:cs="Times New Roman"/>
          <w:sz w:val="28"/>
          <w:szCs w:val="28"/>
          <w:lang w:val="bg-BG"/>
        </w:rPr>
        <w:t xml:space="preserve"> и други, както и </w:t>
      </w:r>
      <w:r w:rsidR="00E53F08">
        <w:rPr>
          <w:rFonts w:ascii="Times New Roman" w:hAnsi="Times New Roman" w:cs="Times New Roman"/>
          <w:sz w:val="28"/>
          <w:szCs w:val="28"/>
          <w:lang w:val="bg-BG"/>
        </w:rPr>
        <w:t xml:space="preserve">при </w:t>
      </w:r>
      <w:r w:rsidR="00A34B4C">
        <w:rPr>
          <w:rFonts w:ascii="Times New Roman" w:hAnsi="Times New Roman" w:cs="Times New Roman"/>
          <w:sz w:val="28"/>
          <w:szCs w:val="28"/>
          <w:lang w:val="bg-BG"/>
        </w:rPr>
        <w:t xml:space="preserve">частни субекти в </w:t>
      </w:r>
      <w:r w:rsidR="00A26161">
        <w:rPr>
          <w:rFonts w:ascii="Times New Roman" w:hAnsi="Times New Roman" w:cs="Times New Roman"/>
          <w:sz w:val="28"/>
          <w:szCs w:val="28"/>
          <w:lang w:val="bg-BG"/>
        </w:rPr>
        <w:t>селско</w:t>
      </w:r>
      <w:r w:rsidR="00A34B4C">
        <w:rPr>
          <w:rFonts w:ascii="Times New Roman" w:hAnsi="Times New Roman" w:cs="Times New Roman"/>
          <w:sz w:val="28"/>
          <w:szCs w:val="28"/>
          <w:lang w:val="bg-BG"/>
        </w:rPr>
        <w:t>то стопанство,</w:t>
      </w:r>
      <w:r w:rsidR="00A26161">
        <w:rPr>
          <w:rFonts w:ascii="Times New Roman" w:hAnsi="Times New Roman" w:cs="Times New Roman"/>
          <w:sz w:val="28"/>
          <w:szCs w:val="28"/>
          <w:lang w:val="bg-BG"/>
        </w:rPr>
        <w:t xml:space="preserve"> </w:t>
      </w:r>
      <w:r w:rsidR="00A26161" w:rsidRPr="00BE2B92">
        <w:rPr>
          <w:rFonts w:ascii="Times New Roman" w:hAnsi="Times New Roman" w:cs="Times New Roman"/>
          <w:sz w:val="28"/>
          <w:szCs w:val="28"/>
          <w:lang w:val="bg-BG"/>
        </w:rPr>
        <w:t>промишлени</w:t>
      </w:r>
      <w:r w:rsidR="00A34B4C">
        <w:rPr>
          <w:rFonts w:ascii="Times New Roman" w:hAnsi="Times New Roman" w:cs="Times New Roman"/>
          <w:sz w:val="28"/>
          <w:szCs w:val="28"/>
          <w:lang w:val="bg-BG"/>
        </w:rPr>
        <w:t xml:space="preserve"> и други</w:t>
      </w:r>
      <w:r w:rsidR="00A26161" w:rsidRPr="00BE2B92">
        <w:rPr>
          <w:rFonts w:ascii="Times New Roman" w:hAnsi="Times New Roman" w:cs="Times New Roman"/>
          <w:sz w:val="28"/>
          <w:szCs w:val="28"/>
          <w:lang w:val="bg-BG"/>
        </w:rPr>
        <w:t xml:space="preserve"> предприятия</w:t>
      </w:r>
      <w:r w:rsidR="00A34B4C">
        <w:rPr>
          <w:rFonts w:ascii="Times New Roman" w:hAnsi="Times New Roman" w:cs="Times New Roman"/>
          <w:sz w:val="28"/>
          <w:szCs w:val="28"/>
          <w:lang w:val="bg-BG"/>
        </w:rPr>
        <w:t>, домакинства и лични стопанства</w:t>
      </w:r>
      <w:r w:rsidR="00A26161">
        <w:rPr>
          <w:rFonts w:ascii="Times New Roman" w:hAnsi="Times New Roman" w:cs="Times New Roman"/>
          <w:sz w:val="28"/>
          <w:szCs w:val="28"/>
          <w:lang w:val="bg-BG"/>
        </w:rPr>
        <w:t>.</w:t>
      </w:r>
      <w:r w:rsidR="004616D8" w:rsidRPr="00BE2B92">
        <w:rPr>
          <w:rFonts w:ascii="Times New Roman" w:hAnsi="Times New Roman" w:cs="Times New Roman"/>
          <w:sz w:val="28"/>
          <w:szCs w:val="28"/>
          <w:lang w:val="bg-BG"/>
        </w:rPr>
        <w:t xml:space="preserve"> </w:t>
      </w:r>
    </w:p>
    <w:p w:rsidR="00C774BF" w:rsidRDefault="00C774BF" w:rsidP="00FB409E">
      <w:pPr>
        <w:spacing w:after="0" w:line="360" w:lineRule="auto"/>
        <w:ind w:firstLine="709"/>
        <w:jc w:val="both"/>
        <w:rPr>
          <w:rFonts w:ascii="Times New Roman" w:hAnsi="Times New Roman" w:cs="Times New Roman"/>
          <w:sz w:val="28"/>
          <w:szCs w:val="28"/>
          <w:lang w:val="bg-BG"/>
        </w:rPr>
      </w:pPr>
      <w:r>
        <w:rPr>
          <w:rFonts w:ascii="Times New Roman" w:hAnsi="Times New Roman" w:cs="Times New Roman"/>
          <w:sz w:val="28"/>
          <w:szCs w:val="28"/>
          <w:lang w:val="bg-BG"/>
        </w:rPr>
        <w:t xml:space="preserve">Характерно за </w:t>
      </w:r>
      <w:r w:rsidR="007419D1">
        <w:rPr>
          <w:rFonts w:ascii="Times New Roman" w:hAnsi="Times New Roman" w:cs="Times New Roman"/>
          <w:sz w:val="28"/>
          <w:szCs w:val="28"/>
          <w:lang w:val="bg-BG"/>
        </w:rPr>
        <w:t xml:space="preserve">община Кайнарджа е, че нейната територия има висок потенциал за използване на слънчевата енергия – един безкраен енергиен източник, който е с висока интензивност през по-голямата част от годината. На тази база, община Кайнарджа си е поставила отдавна цел за </w:t>
      </w:r>
      <w:r w:rsidR="007419D1">
        <w:rPr>
          <w:rFonts w:ascii="Times New Roman" w:hAnsi="Times New Roman" w:cs="Times New Roman"/>
          <w:sz w:val="28"/>
          <w:szCs w:val="28"/>
          <w:lang w:val="bg-BG"/>
        </w:rPr>
        <w:lastRenderedPageBreak/>
        <w:t>популяризиране на тази изключително добра природна даденост и от години екипът ни прави всичко възможно тази информация да стигне до много хора – потенциални инвеститори. Тази кампания за популяризиране е започната още през 2008 година и през последните две години вече дава своите плодове – в края на 2021 година, в община Кайнарджа има вече построени</w:t>
      </w:r>
      <w:r w:rsidR="00651894">
        <w:rPr>
          <w:rFonts w:ascii="Times New Roman" w:hAnsi="Times New Roman" w:cs="Times New Roman"/>
          <w:sz w:val="28"/>
          <w:szCs w:val="28"/>
          <w:lang w:val="bg-BG"/>
        </w:rPr>
        <w:t xml:space="preserve"> 8 бр.  </w:t>
      </w:r>
      <w:r w:rsidR="007419D1">
        <w:rPr>
          <w:rFonts w:ascii="Times New Roman" w:hAnsi="Times New Roman" w:cs="Times New Roman"/>
          <w:sz w:val="28"/>
          <w:szCs w:val="28"/>
          <w:lang w:val="bg-BG"/>
        </w:rPr>
        <w:t>малки фотоволтаични централи /ФтЕЦ/ на частни инвеститори и 1 върху покрива на общинска сграда</w:t>
      </w:r>
      <w:r w:rsidR="00AB55AB">
        <w:rPr>
          <w:rFonts w:ascii="Times New Roman" w:hAnsi="Times New Roman" w:cs="Times New Roman"/>
          <w:sz w:val="28"/>
          <w:szCs w:val="28"/>
          <w:lang w:val="bg-BG"/>
        </w:rPr>
        <w:t xml:space="preserve">, </w:t>
      </w:r>
      <w:r w:rsidR="00651894">
        <w:rPr>
          <w:rFonts w:ascii="Times New Roman" w:hAnsi="Times New Roman" w:cs="Times New Roman"/>
          <w:sz w:val="28"/>
          <w:szCs w:val="28"/>
          <w:lang w:val="bg-BG"/>
        </w:rPr>
        <w:t xml:space="preserve">от </w:t>
      </w:r>
      <w:r w:rsidR="00AB55AB">
        <w:rPr>
          <w:rFonts w:ascii="Times New Roman" w:hAnsi="Times New Roman" w:cs="Times New Roman"/>
          <w:sz w:val="28"/>
          <w:szCs w:val="28"/>
          <w:lang w:val="bg-BG"/>
        </w:rPr>
        <w:t xml:space="preserve">които </w:t>
      </w:r>
      <w:r w:rsidR="00651894">
        <w:rPr>
          <w:rFonts w:ascii="Times New Roman" w:hAnsi="Times New Roman" w:cs="Times New Roman"/>
          <w:sz w:val="28"/>
          <w:szCs w:val="28"/>
          <w:lang w:val="bg-BG"/>
        </w:rPr>
        <w:t>цяла година работят 4броя от тях</w:t>
      </w:r>
      <w:r w:rsidR="00271073">
        <w:rPr>
          <w:rFonts w:ascii="Times New Roman" w:hAnsi="Times New Roman" w:cs="Times New Roman"/>
          <w:sz w:val="28"/>
          <w:szCs w:val="28"/>
          <w:lang w:val="bg-BG"/>
        </w:rPr>
        <w:t>. Те</w:t>
      </w:r>
      <w:r w:rsidR="00AB55AB">
        <w:rPr>
          <w:rFonts w:ascii="Times New Roman" w:hAnsi="Times New Roman" w:cs="Times New Roman"/>
          <w:sz w:val="28"/>
          <w:szCs w:val="28"/>
          <w:lang w:val="bg-BG"/>
        </w:rPr>
        <w:t xml:space="preserve"> използва</w:t>
      </w:r>
      <w:r w:rsidR="00D87A40">
        <w:rPr>
          <w:rFonts w:ascii="Times New Roman" w:hAnsi="Times New Roman" w:cs="Times New Roman"/>
          <w:sz w:val="28"/>
          <w:szCs w:val="28"/>
          <w:lang w:val="bg-BG"/>
        </w:rPr>
        <w:t>т</w:t>
      </w:r>
      <w:r w:rsidR="00AB55AB">
        <w:rPr>
          <w:rFonts w:ascii="Times New Roman" w:hAnsi="Times New Roman" w:cs="Times New Roman"/>
          <w:sz w:val="28"/>
          <w:szCs w:val="28"/>
          <w:lang w:val="bg-BG"/>
        </w:rPr>
        <w:t xml:space="preserve"> един от най-чистите компоненти на възобновяемите източници – слънчевата светлина.</w:t>
      </w:r>
    </w:p>
    <w:p w:rsidR="0016458B" w:rsidRDefault="0016458B" w:rsidP="00FB409E">
      <w:pPr>
        <w:spacing w:after="0" w:line="360" w:lineRule="auto"/>
        <w:ind w:firstLine="709"/>
        <w:jc w:val="both"/>
        <w:rPr>
          <w:rFonts w:ascii="Times New Roman" w:hAnsi="Times New Roman" w:cs="Times New Roman"/>
          <w:sz w:val="28"/>
          <w:szCs w:val="28"/>
          <w:lang w:val="bg-BG"/>
        </w:rPr>
      </w:pPr>
    </w:p>
    <w:p w:rsidR="000D02B0" w:rsidRDefault="000D02B0" w:rsidP="00FB409E">
      <w:pPr>
        <w:spacing w:after="0" w:line="360" w:lineRule="auto"/>
        <w:ind w:firstLine="709"/>
        <w:jc w:val="both"/>
        <w:rPr>
          <w:rFonts w:ascii="Times New Roman" w:hAnsi="Times New Roman" w:cs="Times New Roman"/>
          <w:sz w:val="28"/>
          <w:szCs w:val="28"/>
          <w:lang w:val="bg-BG"/>
        </w:rPr>
      </w:pPr>
    </w:p>
    <w:p w:rsidR="000D02B0" w:rsidRDefault="000D02B0" w:rsidP="000D02B0">
      <w:pPr>
        <w:spacing w:after="0" w:line="360" w:lineRule="auto"/>
        <w:jc w:val="both"/>
        <w:rPr>
          <w:rFonts w:ascii="Times New Roman" w:hAnsi="Times New Roman" w:cs="Times New Roman"/>
          <w:sz w:val="28"/>
          <w:szCs w:val="28"/>
          <w:lang w:val="bg-BG"/>
        </w:rPr>
      </w:pPr>
      <w:r w:rsidRPr="000D02B0">
        <w:rPr>
          <w:rFonts w:ascii="Times New Roman" w:hAnsi="Times New Roman" w:cs="Times New Roman"/>
          <w:noProof/>
          <w:sz w:val="28"/>
          <w:szCs w:val="28"/>
          <w:lang w:val="en-GB" w:eastAsia="en-GB"/>
        </w:rPr>
        <w:drawing>
          <wp:inline distT="0" distB="0" distL="0" distR="0" wp14:anchorId="60DECFFC" wp14:editId="5EDDD6D4">
            <wp:extent cx="5619750" cy="4277788"/>
            <wp:effectExtent l="0" t="0" r="0" b="0"/>
            <wp:docPr id="2" name="Картина 2" descr="D:\D\MC МИНИСТЕРСТВА И МС\М.ЕНЕРГЕТИКАТА\АУЕР\ЗЕВИ\ЗЕВИ 2022\Обекти ЗЕВИ\ФтЕЦ 4 бр в общ. Кайнардж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MC МИНИСТЕРСТВА И МС\М.ЕНЕРГЕТИКАТА\АУЕР\ЗЕВИ\ЗЕВИ 2022\Обекти ЗЕВИ\ФтЕЦ 4 бр в общ. Кайнарджа.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2716" cy="4295270"/>
                    </a:xfrm>
                    <a:prstGeom prst="rect">
                      <a:avLst/>
                    </a:prstGeom>
                    <a:noFill/>
                    <a:ln>
                      <a:noFill/>
                    </a:ln>
                  </pic:spPr>
                </pic:pic>
              </a:graphicData>
            </a:graphic>
          </wp:inline>
        </w:drawing>
      </w:r>
    </w:p>
    <w:p w:rsidR="0016458B" w:rsidRDefault="0016458B" w:rsidP="000D02B0">
      <w:pPr>
        <w:spacing w:after="0" w:line="360" w:lineRule="auto"/>
        <w:jc w:val="both"/>
        <w:rPr>
          <w:rFonts w:ascii="Times New Roman" w:hAnsi="Times New Roman" w:cs="Times New Roman"/>
          <w:sz w:val="28"/>
          <w:szCs w:val="28"/>
          <w:lang w:val="bg-BG"/>
        </w:rPr>
      </w:pPr>
    </w:p>
    <w:p w:rsidR="000D02B0" w:rsidRPr="000D02B0" w:rsidRDefault="000D02B0" w:rsidP="000D02B0">
      <w:pPr>
        <w:spacing w:after="0" w:line="360" w:lineRule="auto"/>
        <w:jc w:val="both"/>
        <w:rPr>
          <w:rFonts w:ascii="Times New Roman" w:hAnsi="Times New Roman" w:cs="Times New Roman"/>
          <w:i/>
          <w:lang w:val="bg-BG"/>
        </w:rPr>
      </w:pPr>
      <w:r>
        <w:rPr>
          <w:rFonts w:ascii="Times New Roman" w:hAnsi="Times New Roman" w:cs="Times New Roman"/>
          <w:i/>
          <w:lang w:val="bg-BG"/>
        </w:rPr>
        <w:t xml:space="preserve">             Източник- Агенция за устойчиво енергийно развитие. Данните са за 2021 година.</w:t>
      </w:r>
    </w:p>
    <w:p w:rsidR="000D02B0" w:rsidRDefault="000D02B0" w:rsidP="0016458B">
      <w:pPr>
        <w:spacing w:after="0" w:line="360" w:lineRule="auto"/>
        <w:jc w:val="both"/>
        <w:rPr>
          <w:rFonts w:ascii="Times New Roman" w:hAnsi="Times New Roman" w:cs="Times New Roman"/>
          <w:sz w:val="28"/>
          <w:szCs w:val="28"/>
          <w:lang w:val="bg-BG"/>
        </w:rPr>
      </w:pPr>
    </w:p>
    <w:p w:rsidR="007419D1" w:rsidRPr="00BE2B92" w:rsidRDefault="00AB55AB" w:rsidP="00FB409E">
      <w:pPr>
        <w:spacing w:after="0" w:line="360" w:lineRule="auto"/>
        <w:ind w:firstLine="709"/>
        <w:jc w:val="both"/>
        <w:rPr>
          <w:rFonts w:ascii="Times New Roman" w:hAnsi="Times New Roman" w:cs="Times New Roman"/>
          <w:sz w:val="28"/>
          <w:szCs w:val="28"/>
          <w:lang w:val="bg-BG"/>
        </w:rPr>
      </w:pPr>
      <w:r w:rsidRPr="00AB55AB">
        <w:rPr>
          <w:rFonts w:ascii="Times New Roman" w:hAnsi="Times New Roman" w:cs="Times New Roman"/>
          <w:b/>
          <w:sz w:val="28"/>
          <w:szCs w:val="28"/>
          <w:lang w:val="bg-BG"/>
        </w:rPr>
        <w:t>ОСНОВНАТА ЦЕЛ,</w:t>
      </w:r>
      <w:r>
        <w:rPr>
          <w:rFonts w:ascii="Times New Roman" w:hAnsi="Times New Roman" w:cs="Times New Roman"/>
          <w:sz w:val="28"/>
          <w:szCs w:val="28"/>
          <w:lang w:val="bg-BG"/>
        </w:rPr>
        <w:t xml:space="preserve"> </w:t>
      </w:r>
      <w:r w:rsidR="007419D1" w:rsidRPr="00AB55AB">
        <w:rPr>
          <w:rFonts w:ascii="Times New Roman" w:hAnsi="Times New Roman" w:cs="Times New Roman"/>
          <w:b/>
          <w:sz w:val="28"/>
          <w:szCs w:val="28"/>
          <w:lang w:val="bg-BG"/>
        </w:rPr>
        <w:t>която си поставя община Кайнарджа с настоящата програма</w:t>
      </w:r>
      <w:r w:rsidRPr="00AB55AB">
        <w:rPr>
          <w:rFonts w:ascii="Times New Roman" w:hAnsi="Times New Roman" w:cs="Times New Roman"/>
          <w:b/>
          <w:sz w:val="28"/>
          <w:szCs w:val="28"/>
          <w:lang w:val="bg-BG"/>
        </w:rPr>
        <w:t xml:space="preserve"> е да увеличи броя на тези </w:t>
      </w:r>
      <w:r w:rsidR="0016458B">
        <w:rPr>
          <w:rFonts w:ascii="Times New Roman" w:hAnsi="Times New Roman" w:cs="Times New Roman"/>
          <w:b/>
          <w:sz w:val="28"/>
          <w:szCs w:val="28"/>
          <w:lang w:val="bg-BG"/>
        </w:rPr>
        <w:t xml:space="preserve">фотоволтаични </w:t>
      </w:r>
      <w:r w:rsidRPr="00AB55AB">
        <w:rPr>
          <w:rFonts w:ascii="Times New Roman" w:hAnsi="Times New Roman" w:cs="Times New Roman"/>
          <w:b/>
          <w:sz w:val="28"/>
          <w:szCs w:val="28"/>
          <w:lang w:val="bg-BG"/>
        </w:rPr>
        <w:t>централи</w:t>
      </w:r>
      <w:r w:rsidR="0016458B">
        <w:rPr>
          <w:rFonts w:ascii="Times New Roman" w:hAnsi="Times New Roman" w:cs="Times New Roman"/>
          <w:b/>
          <w:sz w:val="28"/>
          <w:szCs w:val="28"/>
          <w:lang w:val="bg-BG"/>
        </w:rPr>
        <w:t>/ФтЕЦ/</w:t>
      </w:r>
      <w:r w:rsidRPr="00AB55AB">
        <w:rPr>
          <w:rFonts w:ascii="Times New Roman" w:hAnsi="Times New Roman" w:cs="Times New Roman"/>
          <w:b/>
          <w:sz w:val="28"/>
          <w:szCs w:val="28"/>
          <w:lang w:val="bg-BG"/>
        </w:rPr>
        <w:t>: Да се удвои броя на работещите ФтЕЦ</w:t>
      </w:r>
      <w:r w:rsidR="0016458B">
        <w:rPr>
          <w:rFonts w:ascii="Times New Roman" w:hAnsi="Times New Roman" w:cs="Times New Roman"/>
          <w:b/>
          <w:sz w:val="28"/>
          <w:szCs w:val="28"/>
          <w:lang w:val="bg-BG"/>
        </w:rPr>
        <w:t xml:space="preserve"> за периода 2022-2024 година</w:t>
      </w:r>
      <w:r w:rsidR="00AB4704">
        <w:rPr>
          <w:rFonts w:ascii="Times New Roman" w:hAnsi="Times New Roman" w:cs="Times New Roman"/>
          <w:b/>
          <w:sz w:val="28"/>
          <w:szCs w:val="28"/>
          <w:lang w:val="bg-BG"/>
        </w:rPr>
        <w:t>, т.е.</w:t>
      </w:r>
      <w:r w:rsidRPr="00AB55AB">
        <w:rPr>
          <w:rFonts w:ascii="Times New Roman" w:hAnsi="Times New Roman" w:cs="Times New Roman"/>
          <w:b/>
          <w:sz w:val="28"/>
          <w:szCs w:val="28"/>
          <w:lang w:val="bg-BG"/>
        </w:rPr>
        <w:t xml:space="preserve"> </w:t>
      </w:r>
      <w:r>
        <w:rPr>
          <w:rFonts w:ascii="Times New Roman" w:hAnsi="Times New Roman" w:cs="Times New Roman"/>
          <w:b/>
          <w:sz w:val="28"/>
          <w:szCs w:val="28"/>
          <w:lang w:val="bg-BG"/>
        </w:rPr>
        <w:t xml:space="preserve">да се направи още </w:t>
      </w:r>
      <w:r w:rsidRPr="00AB55AB">
        <w:rPr>
          <w:rFonts w:ascii="Times New Roman" w:hAnsi="Times New Roman" w:cs="Times New Roman"/>
          <w:b/>
          <w:sz w:val="28"/>
          <w:szCs w:val="28"/>
          <w:lang w:val="bg-BG"/>
        </w:rPr>
        <w:t>една публична инвестиция</w:t>
      </w:r>
      <w:r>
        <w:rPr>
          <w:rFonts w:ascii="Times New Roman" w:hAnsi="Times New Roman" w:cs="Times New Roman"/>
          <w:b/>
          <w:sz w:val="28"/>
          <w:szCs w:val="28"/>
          <w:lang w:val="bg-BG"/>
        </w:rPr>
        <w:t xml:space="preserve"> в тази посока</w:t>
      </w:r>
      <w:r w:rsidR="003C72BB">
        <w:rPr>
          <w:rFonts w:ascii="Times New Roman" w:hAnsi="Times New Roman" w:cs="Times New Roman"/>
          <w:b/>
          <w:sz w:val="28"/>
          <w:szCs w:val="28"/>
          <w:lang w:val="bg-BG"/>
        </w:rPr>
        <w:t xml:space="preserve"> и </w:t>
      </w:r>
      <w:r w:rsidR="0016458B">
        <w:rPr>
          <w:rFonts w:ascii="Times New Roman" w:hAnsi="Times New Roman" w:cs="Times New Roman"/>
          <w:b/>
          <w:sz w:val="28"/>
          <w:szCs w:val="28"/>
          <w:lang w:val="bg-BG"/>
        </w:rPr>
        <w:t xml:space="preserve">поне </w:t>
      </w:r>
      <w:r w:rsidR="00AB4704">
        <w:rPr>
          <w:rFonts w:ascii="Times New Roman" w:hAnsi="Times New Roman" w:cs="Times New Roman"/>
          <w:b/>
          <w:sz w:val="28"/>
          <w:szCs w:val="28"/>
          <w:lang w:val="bg-BG"/>
        </w:rPr>
        <w:t>още 8</w:t>
      </w:r>
      <w:r w:rsidRPr="00AB55AB">
        <w:rPr>
          <w:rFonts w:ascii="Times New Roman" w:hAnsi="Times New Roman" w:cs="Times New Roman"/>
          <w:b/>
          <w:sz w:val="28"/>
          <w:szCs w:val="28"/>
          <w:lang w:val="bg-BG"/>
        </w:rPr>
        <w:t xml:space="preserve"> броя частни</w:t>
      </w:r>
      <w:r w:rsidR="0016458B">
        <w:rPr>
          <w:rFonts w:ascii="Times New Roman" w:hAnsi="Times New Roman" w:cs="Times New Roman"/>
          <w:b/>
          <w:sz w:val="28"/>
          <w:szCs w:val="28"/>
          <w:lang w:val="bg-BG"/>
        </w:rPr>
        <w:t xml:space="preserve"> инвестиции</w:t>
      </w:r>
      <w:r>
        <w:rPr>
          <w:rFonts w:ascii="Times New Roman" w:hAnsi="Times New Roman" w:cs="Times New Roman"/>
          <w:b/>
          <w:sz w:val="28"/>
          <w:szCs w:val="28"/>
          <w:lang w:val="bg-BG"/>
        </w:rPr>
        <w:t>.</w:t>
      </w:r>
      <w:r w:rsidR="0016458B">
        <w:rPr>
          <w:rFonts w:ascii="Times New Roman" w:hAnsi="Times New Roman" w:cs="Times New Roman"/>
          <w:b/>
          <w:sz w:val="28"/>
          <w:szCs w:val="28"/>
          <w:lang w:val="bg-BG"/>
        </w:rPr>
        <w:t xml:space="preserve"> </w:t>
      </w:r>
    </w:p>
    <w:p w:rsidR="004616D8" w:rsidRPr="00BE2B92" w:rsidRDefault="004616D8" w:rsidP="00FB409E">
      <w:pPr>
        <w:spacing w:after="0" w:line="360" w:lineRule="auto"/>
        <w:ind w:firstLine="709"/>
        <w:jc w:val="both"/>
        <w:rPr>
          <w:rFonts w:ascii="Times New Roman" w:hAnsi="Times New Roman" w:cs="Times New Roman"/>
          <w:sz w:val="28"/>
          <w:szCs w:val="28"/>
          <w:lang w:val="bg-BG"/>
        </w:rPr>
      </w:pPr>
    </w:p>
    <w:p w:rsidR="005D0C17" w:rsidRPr="00BE2B92" w:rsidRDefault="005D0C17" w:rsidP="00FB409E">
      <w:pPr>
        <w:pStyle w:val="10"/>
        <w:spacing w:before="0" w:line="360" w:lineRule="auto"/>
        <w:ind w:firstLine="720"/>
        <w:jc w:val="both"/>
        <w:rPr>
          <w:rFonts w:ascii="Times New Roman" w:hAnsi="Times New Roman" w:cs="Times New Roman"/>
          <w:b/>
          <w:color w:val="auto"/>
          <w:sz w:val="28"/>
          <w:szCs w:val="28"/>
          <w:lang w:val="bg-BG"/>
        </w:rPr>
      </w:pPr>
      <w:bookmarkStart w:id="2" w:name="_Toc96613171"/>
      <w:r w:rsidRPr="00BE2B92">
        <w:rPr>
          <w:rFonts w:ascii="Times New Roman" w:hAnsi="Times New Roman" w:cs="Times New Roman"/>
          <w:b/>
          <w:color w:val="auto"/>
          <w:sz w:val="28"/>
          <w:szCs w:val="28"/>
          <w:lang w:val="bg-BG"/>
        </w:rPr>
        <w:t>3. ОСНОВНИ ПОЛОЖЕНИЯ</w:t>
      </w:r>
      <w:bookmarkEnd w:id="2"/>
      <w:r w:rsidRPr="00BE2B92">
        <w:rPr>
          <w:rFonts w:ascii="Times New Roman" w:hAnsi="Times New Roman" w:cs="Times New Roman"/>
          <w:b/>
          <w:color w:val="auto"/>
          <w:sz w:val="28"/>
          <w:szCs w:val="28"/>
          <w:lang w:val="bg-BG"/>
        </w:rPr>
        <w:t xml:space="preserve"> </w:t>
      </w:r>
    </w:p>
    <w:p w:rsidR="00496DA2" w:rsidRPr="00BE2B92" w:rsidRDefault="004616D8" w:rsidP="00FB409E">
      <w:pPr>
        <w:pStyle w:val="Default"/>
        <w:spacing w:line="360" w:lineRule="auto"/>
        <w:ind w:firstLine="720"/>
        <w:jc w:val="both"/>
        <w:rPr>
          <w:rFonts w:ascii="Times New Roman" w:hAnsi="Times New Roman" w:cs="Times New Roman"/>
          <w:color w:val="auto"/>
          <w:sz w:val="28"/>
          <w:szCs w:val="28"/>
          <w:lang w:val="bg-BG"/>
        </w:rPr>
      </w:pPr>
      <w:r w:rsidRPr="00BE2B92">
        <w:rPr>
          <w:rFonts w:ascii="Times New Roman" w:hAnsi="Times New Roman" w:cs="Times New Roman"/>
          <w:color w:val="auto"/>
          <w:sz w:val="28"/>
          <w:szCs w:val="28"/>
          <w:lang w:val="bg-BG"/>
        </w:rPr>
        <w:t>Всички сценарии за изпълнение на Енергийната пътна карта на ЕС за периода до 2050 г. показват, че най-големият дял на технологиите за доставка на енергия през 2050 г. ще се пада на възо</w:t>
      </w:r>
      <w:r w:rsidR="00496DA2" w:rsidRPr="00BE2B92">
        <w:rPr>
          <w:rFonts w:ascii="Times New Roman" w:hAnsi="Times New Roman" w:cs="Times New Roman"/>
          <w:color w:val="auto"/>
          <w:sz w:val="28"/>
          <w:szCs w:val="28"/>
          <w:lang w:val="bg-BG"/>
        </w:rPr>
        <w:t>бновяемите енергийни източници.</w:t>
      </w:r>
    </w:p>
    <w:p w:rsidR="00496DA2" w:rsidRPr="00BE2B92" w:rsidRDefault="004616D8" w:rsidP="00FB409E">
      <w:pPr>
        <w:pStyle w:val="Default"/>
        <w:spacing w:line="360" w:lineRule="auto"/>
        <w:ind w:firstLine="720"/>
        <w:jc w:val="both"/>
        <w:rPr>
          <w:rFonts w:ascii="Times New Roman" w:hAnsi="Times New Roman" w:cs="Times New Roman"/>
          <w:color w:val="auto"/>
          <w:sz w:val="28"/>
          <w:szCs w:val="28"/>
          <w:lang w:val="bg-BG"/>
        </w:rPr>
      </w:pPr>
      <w:r w:rsidRPr="00BE2B92">
        <w:rPr>
          <w:rFonts w:ascii="Times New Roman" w:hAnsi="Times New Roman" w:cs="Times New Roman"/>
          <w:color w:val="auto"/>
          <w:sz w:val="28"/>
          <w:szCs w:val="28"/>
          <w:lang w:val="bg-BG"/>
        </w:rPr>
        <w:t xml:space="preserve">Съгласно Рамката за политиките в областта на климата и енергетиката през периода 2020—2030 година на Европейската комисия, енергията от възобновяеми източници трябва да продължи да играе главна роля в прехода към по-конкурентоспособна, сигурна и устойчива енергийна система. Според предварително приети текстове от ЕП в новата Директивата за възобновяеми енергийни източници за периода до 2030 г. се определя обвързваща цел на ЕС за постигането на 32 % дял на ВЕИ до 2030 г. </w:t>
      </w:r>
    </w:p>
    <w:p w:rsidR="00DD4C5F" w:rsidRPr="00BE2B92" w:rsidRDefault="004616D8" w:rsidP="00FB409E">
      <w:pPr>
        <w:pStyle w:val="Default"/>
        <w:spacing w:line="360" w:lineRule="auto"/>
        <w:ind w:firstLine="720"/>
        <w:jc w:val="both"/>
        <w:rPr>
          <w:rFonts w:ascii="Times New Roman" w:hAnsi="Times New Roman" w:cs="Times New Roman"/>
          <w:color w:val="auto"/>
          <w:sz w:val="28"/>
          <w:szCs w:val="28"/>
          <w:lang w:val="bg-BG"/>
        </w:rPr>
      </w:pPr>
      <w:r w:rsidRPr="00BE2B92">
        <w:rPr>
          <w:rFonts w:ascii="Times New Roman" w:hAnsi="Times New Roman" w:cs="Times New Roman"/>
          <w:color w:val="auto"/>
          <w:sz w:val="28"/>
          <w:szCs w:val="28"/>
          <w:lang w:val="bg-BG"/>
        </w:rPr>
        <w:t xml:space="preserve">В транспортния сектор постигане на 14 % дял на ВЕИ до 2030 г., с 3,5 % дял на биогоривата от нови поколения и биогаза (1 % до 2025 г.). Освен това в него се слага таван от 7 % върху дела на биогоривата от първо поколение в автомобилния и железопътния транспорт и се предвижда постепенно преустановяване на използването на палмово масло до 2030 г. Делът на ВЕИ в енергийния баланс на България е значително по-малък от средния за страните от ЕС. Затова се насърчава широкото им въвеждане и използване в бита и икономиката, включително на местно ниво, чрез </w:t>
      </w:r>
      <w:r w:rsidRPr="00BE2B92">
        <w:rPr>
          <w:rFonts w:ascii="Times New Roman" w:hAnsi="Times New Roman" w:cs="Times New Roman"/>
          <w:color w:val="auto"/>
          <w:sz w:val="28"/>
          <w:szCs w:val="28"/>
          <w:lang w:val="bg-BG"/>
        </w:rPr>
        <w:lastRenderedPageBreak/>
        <w:t>заложените мерки и дейности в общинските програми за енергия от ВИ и биогорива.</w:t>
      </w:r>
    </w:p>
    <w:p w:rsidR="00DD4C5F" w:rsidRPr="00BE2B92" w:rsidRDefault="0095701C" w:rsidP="00FB409E">
      <w:pPr>
        <w:pStyle w:val="Default"/>
        <w:spacing w:line="360" w:lineRule="auto"/>
        <w:ind w:firstLine="709"/>
        <w:rPr>
          <w:rFonts w:ascii="Times New Roman" w:hAnsi="Times New Roman" w:cs="Times New Roman"/>
          <w:sz w:val="28"/>
          <w:szCs w:val="28"/>
          <w:lang w:val="bg-BG"/>
        </w:rPr>
      </w:pPr>
      <w:r>
        <w:rPr>
          <w:rFonts w:ascii="Times New Roman" w:hAnsi="Times New Roman" w:cs="Times New Roman"/>
          <w:sz w:val="28"/>
          <w:szCs w:val="28"/>
          <w:lang w:val="bg-BG"/>
        </w:rPr>
        <w:t>За п</w:t>
      </w:r>
      <w:r w:rsidR="00DD4C5F" w:rsidRPr="00BE2B92">
        <w:rPr>
          <w:rFonts w:ascii="Times New Roman" w:hAnsi="Times New Roman" w:cs="Times New Roman"/>
          <w:sz w:val="28"/>
          <w:szCs w:val="28"/>
          <w:lang w:val="bg-BG"/>
        </w:rPr>
        <w:t xml:space="preserve">одобряване </w:t>
      </w:r>
      <w:r>
        <w:rPr>
          <w:rFonts w:ascii="Times New Roman" w:hAnsi="Times New Roman" w:cs="Times New Roman"/>
          <w:sz w:val="28"/>
          <w:szCs w:val="28"/>
          <w:lang w:val="bg-BG"/>
        </w:rPr>
        <w:t xml:space="preserve"> на </w:t>
      </w:r>
      <w:r w:rsidR="00DD4C5F" w:rsidRPr="00BE2B92">
        <w:rPr>
          <w:rFonts w:ascii="Times New Roman" w:hAnsi="Times New Roman" w:cs="Times New Roman"/>
          <w:sz w:val="28"/>
          <w:szCs w:val="28"/>
          <w:lang w:val="bg-BG"/>
        </w:rPr>
        <w:t>енергийното управление на територията на общината</w:t>
      </w:r>
      <w:r>
        <w:rPr>
          <w:rFonts w:ascii="Times New Roman" w:hAnsi="Times New Roman" w:cs="Times New Roman"/>
          <w:sz w:val="28"/>
          <w:szCs w:val="28"/>
          <w:lang w:val="bg-BG"/>
        </w:rPr>
        <w:t xml:space="preserve"> предприехме и изпълнихме препоръчани мерки</w:t>
      </w:r>
      <w:r w:rsidR="00DD4C5F" w:rsidRPr="00BE2B92">
        <w:rPr>
          <w:rFonts w:ascii="Times New Roman" w:hAnsi="Times New Roman" w:cs="Times New Roman"/>
          <w:sz w:val="28"/>
          <w:szCs w:val="28"/>
          <w:lang w:val="bg-BG"/>
        </w:rPr>
        <w:t xml:space="preserve">; </w:t>
      </w:r>
    </w:p>
    <w:p w:rsidR="00DD4C5F" w:rsidRPr="00BE2B92" w:rsidRDefault="00DD4C5F" w:rsidP="00FB409E">
      <w:pPr>
        <w:spacing w:after="0" w:line="360" w:lineRule="auto"/>
        <w:ind w:firstLine="709"/>
        <w:jc w:val="both"/>
        <w:rPr>
          <w:rFonts w:ascii="Times New Roman" w:hAnsi="Times New Roman" w:cs="Times New Roman"/>
          <w:sz w:val="28"/>
          <w:szCs w:val="28"/>
          <w:lang w:val="bg-BG"/>
        </w:rPr>
      </w:pPr>
      <w:r w:rsidRPr="00BE2B92">
        <w:rPr>
          <w:rFonts w:ascii="Times New Roman" w:hAnsi="Times New Roman" w:cs="Times New Roman"/>
          <w:sz w:val="28"/>
          <w:szCs w:val="28"/>
          <w:lang w:val="bg-BG"/>
        </w:rPr>
        <w:t>- Смяна на горивната база за локалните отоплителни системи с възобновяеми източници</w:t>
      </w:r>
      <w:r w:rsidR="0095701C">
        <w:rPr>
          <w:rFonts w:ascii="Times New Roman" w:hAnsi="Times New Roman" w:cs="Times New Roman"/>
          <w:sz w:val="28"/>
          <w:szCs w:val="28"/>
          <w:lang w:val="bg-BG"/>
        </w:rPr>
        <w:t xml:space="preserve"> – извършено е в три от заведенията за социални услуги на територията на община Кайнарджа – горивните системи преминаха от дърва и въглища към пелети</w:t>
      </w:r>
      <w:r w:rsidR="004C31A5">
        <w:rPr>
          <w:rFonts w:ascii="Times New Roman" w:hAnsi="Times New Roman" w:cs="Times New Roman"/>
          <w:sz w:val="28"/>
          <w:szCs w:val="28"/>
          <w:lang w:val="bg-BG"/>
        </w:rPr>
        <w:t xml:space="preserve"> в края на 2019 година. През</w:t>
      </w:r>
      <w:r w:rsidR="0095701C">
        <w:rPr>
          <w:rFonts w:ascii="Times New Roman" w:hAnsi="Times New Roman" w:cs="Times New Roman"/>
          <w:sz w:val="28"/>
          <w:szCs w:val="28"/>
          <w:lang w:val="bg-BG"/>
        </w:rPr>
        <w:t xml:space="preserve"> първата година</w:t>
      </w:r>
      <w:r w:rsidR="004C31A5">
        <w:rPr>
          <w:rFonts w:ascii="Times New Roman" w:hAnsi="Times New Roman" w:cs="Times New Roman"/>
          <w:sz w:val="28"/>
          <w:szCs w:val="28"/>
          <w:lang w:val="bg-BG"/>
        </w:rPr>
        <w:t xml:space="preserve"> на експлоатация</w:t>
      </w:r>
      <w:r w:rsidR="0095701C">
        <w:rPr>
          <w:rFonts w:ascii="Times New Roman" w:hAnsi="Times New Roman" w:cs="Times New Roman"/>
          <w:sz w:val="28"/>
          <w:szCs w:val="28"/>
          <w:lang w:val="bg-BG"/>
        </w:rPr>
        <w:t xml:space="preserve"> – 2020</w:t>
      </w:r>
      <w:r w:rsidR="004C31A5">
        <w:rPr>
          <w:rFonts w:ascii="Times New Roman" w:hAnsi="Times New Roman" w:cs="Times New Roman"/>
          <w:sz w:val="28"/>
          <w:szCs w:val="28"/>
          <w:lang w:val="bg-BG"/>
        </w:rPr>
        <w:t>, това</w:t>
      </w:r>
      <w:r w:rsidR="0095701C">
        <w:rPr>
          <w:rFonts w:ascii="Times New Roman" w:hAnsi="Times New Roman" w:cs="Times New Roman"/>
          <w:sz w:val="28"/>
          <w:szCs w:val="28"/>
          <w:lang w:val="bg-BG"/>
        </w:rPr>
        <w:t xml:space="preserve"> беше много целесъобразно поради сравнително ниската цена, но през 2021 година – цената на пелетите „скочи“ 10 пъти. От 70 лева на тон - в края на 2019 година, когато осъществихме промяната на горивната база – в края на 2021 година цената вече се покачи на 709 лв/тон</w:t>
      </w:r>
      <w:r w:rsidRPr="00BE2B92">
        <w:rPr>
          <w:rFonts w:ascii="Times New Roman" w:hAnsi="Times New Roman" w:cs="Times New Roman"/>
          <w:sz w:val="28"/>
          <w:szCs w:val="28"/>
          <w:lang w:val="bg-BG"/>
        </w:rPr>
        <w:t xml:space="preserve">; </w:t>
      </w:r>
    </w:p>
    <w:p w:rsidR="00DD4C5F" w:rsidRPr="00BE2B92" w:rsidRDefault="00DD4C5F" w:rsidP="00FB409E">
      <w:pPr>
        <w:spacing w:after="0" w:line="360" w:lineRule="auto"/>
        <w:ind w:firstLine="709"/>
        <w:jc w:val="both"/>
        <w:rPr>
          <w:rFonts w:ascii="Times New Roman" w:hAnsi="Times New Roman" w:cs="Times New Roman"/>
          <w:sz w:val="28"/>
          <w:szCs w:val="28"/>
          <w:lang w:val="bg-BG"/>
        </w:rPr>
      </w:pPr>
      <w:r w:rsidRPr="00BE2B92">
        <w:rPr>
          <w:rFonts w:ascii="Times New Roman" w:hAnsi="Times New Roman" w:cs="Times New Roman"/>
          <w:sz w:val="28"/>
          <w:szCs w:val="28"/>
          <w:lang w:val="bg-BG"/>
        </w:rPr>
        <w:t>- Въвеждане на локални източници на възобновяема енергия (слънчеви колектори, фотоволтаици</w:t>
      </w:r>
      <w:r w:rsidR="000919E6">
        <w:rPr>
          <w:rFonts w:ascii="Times New Roman" w:hAnsi="Times New Roman" w:cs="Times New Roman"/>
          <w:sz w:val="28"/>
          <w:szCs w:val="28"/>
          <w:lang w:val="bg-BG"/>
        </w:rPr>
        <w:t>,</w:t>
      </w:r>
      <w:r w:rsidRPr="00BE2B92">
        <w:rPr>
          <w:rFonts w:ascii="Times New Roman" w:hAnsi="Times New Roman" w:cs="Times New Roman"/>
          <w:sz w:val="28"/>
          <w:szCs w:val="28"/>
          <w:lang w:val="bg-BG"/>
        </w:rPr>
        <w:t xml:space="preserve"> геотермални източници, използване на биомаса, </w:t>
      </w:r>
      <w:r w:rsidR="004C31A5">
        <w:rPr>
          <w:rFonts w:ascii="Times New Roman" w:hAnsi="Times New Roman" w:cs="Times New Roman"/>
          <w:sz w:val="28"/>
          <w:szCs w:val="28"/>
          <w:lang w:val="bg-BG"/>
        </w:rPr>
        <w:t>в т.ч. преработка на отпадъци). Тази мярка бе приложена отново в едно от заведенията за социални услуги – ДЦПЛУ в с. Средище, коет</w:t>
      </w:r>
      <w:r w:rsidR="00166808">
        <w:rPr>
          <w:rFonts w:ascii="Times New Roman" w:hAnsi="Times New Roman" w:cs="Times New Roman"/>
          <w:sz w:val="28"/>
          <w:szCs w:val="28"/>
          <w:lang w:val="bg-BG"/>
        </w:rPr>
        <w:t>о е с капацитет 50 потребители.</w:t>
      </w:r>
      <w:r w:rsidR="004C31A5" w:rsidRPr="00271073">
        <w:rPr>
          <w:rFonts w:ascii="Times New Roman" w:hAnsi="Times New Roman" w:cs="Times New Roman"/>
          <w:color w:val="FF0000"/>
          <w:sz w:val="28"/>
          <w:szCs w:val="28"/>
          <w:lang w:val="bg-BG"/>
        </w:rPr>
        <w:t xml:space="preserve"> </w:t>
      </w:r>
    </w:p>
    <w:p w:rsidR="00DD4C5F" w:rsidRPr="00BE2B92" w:rsidRDefault="00DD4C5F" w:rsidP="00FB409E">
      <w:pPr>
        <w:spacing w:after="0" w:line="360" w:lineRule="auto"/>
        <w:ind w:firstLine="709"/>
        <w:jc w:val="both"/>
        <w:rPr>
          <w:rFonts w:ascii="Times New Roman" w:hAnsi="Times New Roman" w:cs="Times New Roman"/>
          <w:sz w:val="28"/>
          <w:szCs w:val="28"/>
          <w:lang w:val="bg-BG"/>
        </w:rPr>
      </w:pPr>
    </w:p>
    <w:p w:rsidR="005D0C17" w:rsidRPr="006505D6" w:rsidRDefault="005D0C17" w:rsidP="006505D6">
      <w:pPr>
        <w:pStyle w:val="10"/>
        <w:spacing w:before="0" w:line="360" w:lineRule="auto"/>
        <w:ind w:firstLine="720"/>
        <w:jc w:val="both"/>
        <w:rPr>
          <w:rFonts w:ascii="Times New Roman" w:hAnsi="Times New Roman" w:cs="Times New Roman"/>
          <w:b/>
          <w:color w:val="auto"/>
          <w:sz w:val="28"/>
          <w:szCs w:val="28"/>
          <w:lang w:val="bg-BG"/>
        </w:rPr>
      </w:pPr>
      <w:bookmarkStart w:id="3" w:name="_Toc96613172"/>
      <w:r w:rsidRPr="006505D6">
        <w:rPr>
          <w:rFonts w:ascii="Times New Roman" w:hAnsi="Times New Roman" w:cs="Times New Roman"/>
          <w:b/>
          <w:color w:val="auto"/>
          <w:sz w:val="28"/>
          <w:szCs w:val="28"/>
          <w:lang w:val="bg-BG"/>
        </w:rPr>
        <w:t>4. ПРИЛОЖИМИ НОРМАТИВНИ АКТОВЕ</w:t>
      </w:r>
      <w:bookmarkEnd w:id="3"/>
      <w:r w:rsidRPr="006505D6">
        <w:rPr>
          <w:rFonts w:ascii="Times New Roman" w:hAnsi="Times New Roman" w:cs="Times New Roman"/>
          <w:b/>
          <w:color w:val="auto"/>
          <w:sz w:val="28"/>
          <w:szCs w:val="28"/>
          <w:lang w:val="bg-BG"/>
        </w:rPr>
        <w:t xml:space="preserve"> </w:t>
      </w:r>
    </w:p>
    <w:p w:rsidR="0066729E" w:rsidRPr="00BE2B92" w:rsidRDefault="0066729E" w:rsidP="00FB409E">
      <w:pPr>
        <w:autoSpaceDE w:val="0"/>
        <w:autoSpaceDN w:val="0"/>
        <w:adjustRightInd w:val="0"/>
        <w:spacing w:after="0" w:line="360" w:lineRule="auto"/>
        <w:rPr>
          <w:rFonts w:ascii="Arial" w:hAnsi="Arial" w:cs="Arial"/>
          <w:color w:val="000000"/>
          <w:sz w:val="24"/>
          <w:szCs w:val="24"/>
          <w:lang w:val="bg-BG"/>
        </w:rPr>
      </w:pPr>
    </w:p>
    <w:p w:rsidR="0066729E" w:rsidRPr="00BE2B92" w:rsidRDefault="0066729E" w:rsidP="00FB409E">
      <w:pPr>
        <w:spacing w:after="0" w:line="360" w:lineRule="auto"/>
        <w:ind w:firstLine="709"/>
        <w:jc w:val="both"/>
        <w:rPr>
          <w:rFonts w:ascii="Times New Roman" w:hAnsi="Times New Roman" w:cs="Times New Roman"/>
          <w:sz w:val="28"/>
          <w:szCs w:val="28"/>
          <w:lang w:val="bg-BG"/>
        </w:rPr>
      </w:pPr>
      <w:r w:rsidRPr="00BE2B92">
        <w:rPr>
          <w:rFonts w:ascii="Times New Roman" w:hAnsi="Times New Roman" w:cs="Times New Roman"/>
          <w:sz w:val="28"/>
          <w:szCs w:val="28"/>
          <w:lang w:val="bg-BG"/>
        </w:rPr>
        <w:t xml:space="preserve">- Закон за енергията от възобновяеми източници (ЗЕВИ); </w:t>
      </w:r>
    </w:p>
    <w:p w:rsidR="0066729E" w:rsidRPr="00BE2B92" w:rsidRDefault="0066729E" w:rsidP="00FB409E">
      <w:pPr>
        <w:spacing w:after="0" w:line="360" w:lineRule="auto"/>
        <w:ind w:firstLine="709"/>
        <w:jc w:val="both"/>
        <w:rPr>
          <w:rFonts w:ascii="Times New Roman" w:hAnsi="Times New Roman" w:cs="Times New Roman"/>
          <w:sz w:val="28"/>
          <w:szCs w:val="28"/>
          <w:lang w:val="bg-BG"/>
        </w:rPr>
      </w:pPr>
      <w:r w:rsidRPr="00BE2B92">
        <w:rPr>
          <w:rFonts w:ascii="Times New Roman" w:hAnsi="Times New Roman" w:cs="Times New Roman"/>
          <w:sz w:val="28"/>
          <w:szCs w:val="28"/>
          <w:lang w:val="bg-BG"/>
        </w:rPr>
        <w:t xml:space="preserve">- Закон за енергетиката (ЗЕ); </w:t>
      </w:r>
    </w:p>
    <w:p w:rsidR="0066729E" w:rsidRPr="00BE2B92" w:rsidRDefault="0066729E" w:rsidP="00FB409E">
      <w:pPr>
        <w:spacing w:after="0" w:line="360" w:lineRule="auto"/>
        <w:ind w:firstLine="709"/>
        <w:jc w:val="both"/>
        <w:rPr>
          <w:rFonts w:ascii="Times New Roman" w:hAnsi="Times New Roman" w:cs="Times New Roman"/>
          <w:sz w:val="28"/>
          <w:szCs w:val="28"/>
          <w:lang w:val="bg-BG"/>
        </w:rPr>
      </w:pPr>
      <w:r w:rsidRPr="00BE2B92">
        <w:rPr>
          <w:rFonts w:ascii="Times New Roman" w:hAnsi="Times New Roman" w:cs="Times New Roman"/>
          <w:sz w:val="28"/>
          <w:szCs w:val="28"/>
          <w:lang w:val="bg-BG"/>
        </w:rPr>
        <w:t xml:space="preserve">- Закон за устройство на територията (ЗУТ); </w:t>
      </w:r>
    </w:p>
    <w:p w:rsidR="0066729E" w:rsidRPr="00BE2B92" w:rsidRDefault="0066729E" w:rsidP="00FB409E">
      <w:pPr>
        <w:spacing w:after="0" w:line="360" w:lineRule="auto"/>
        <w:ind w:firstLine="709"/>
        <w:jc w:val="both"/>
        <w:rPr>
          <w:rFonts w:ascii="Times New Roman" w:hAnsi="Times New Roman" w:cs="Times New Roman"/>
          <w:sz w:val="28"/>
          <w:szCs w:val="28"/>
          <w:lang w:val="bg-BG"/>
        </w:rPr>
      </w:pPr>
      <w:r w:rsidRPr="00BE2B92">
        <w:rPr>
          <w:rFonts w:ascii="Times New Roman" w:hAnsi="Times New Roman" w:cs="Times New Roman"/>
          <w:sz w:val="28"/>
          <w:szCs w:val="28"/>
          <w:lang w:val="bg-BG"/>
        </w:rPr>
        <w:t xml:space="preserve">- Закон за опазване на околната среда (ЗООС); </w:t>
      </w:r>
    </w:p>
    <w:p w:rsidR="0066729E" w:rsidRPr="00BE2B92" w:rsidRDefault="0066729E" w:rsidP="00FB409E">
      <w:pPr>
        <w:spacing w:after="0" w:line="360" w:lineRule="auto"/>
        <w:ind w:firstLine="709"/>
        <w:jc w:val="both"/>
        <w:rPr>
          <w:rFonts w:ascii="Times New Roman" w:hAnsi="Times New Roman" w:cs="Times New Roman"/>
          <w:sz w:val="28"/>
          <w:szCs w:val="28"/>
          <w:lang w:val="bg-BG"/>
        </w:rPr>
      </w:pPr>
      <w:r w:rsidRPr="00BE2B92">
        <w:rPr>
          <w:rFonts w:ascii="Times New Roman" w:hAnsi="Times New Roman" w:cs="Times New Roman"/>
          <w:sz w:val="28"/>
          <w:szCs w:val="28"/>
          <w:lang w:val="bg-BG"/>
        </w:rPr>
        <w:t xml:space="preserve">- Закон за биологичното разнообразие (ЗБР); </w:t>
      </w:r>
    </w:p>
    <w:p w:rsidR="0066729E" w:rsidRPr="00BE2B92" w:rsidRDefault="0066729E" w:rsidP="00FB409E">
      <w:pPr>
        <w:spacing w:after="0" w:line="360" w:lineRule="auto"/>
        <w:ind w:firstLine="709"/>
        <w:jc w:val="both"/>
        <w:rPr>
          <w:rFonts w:ascii="Times New Roman" w:hAnsi="Times New Roman" w:cs="Times New Roman"/>
          <w:sz w:val="28"/>
          <w:szCs w:val="28"/>
          <w:lang w:val="bg-BG"/>
        </w:rPr>
      </w:pPr>
      <w:r w:rsidRPr="00BE2B92">
        <w:rPr>
          <w:rFonts w:ascii="Times New Roman" w:hAnsi="Times New Roman" w:cs="Times New Roman"/>
          <w:sz w:val="28"/>
          <w:szCs w:val="28"/>
          <w:lang w:val="bg-BG"/>
        </w:rPr>
        <w:t xml:space="preserve">- Закон за собствеността и ползването на земеделски земи (ЗСПЗЗ); </w:t>
      </w:r>
    </w:p>
    <w:p w:rsidR="0066729E" w:rsidRPr="00BE2B92" w:rsidRDefault="0066729E" w:rsidP="00FB409E">
      <w:pPr>
        <w:spacing w:after="0" w:line="360" w:lineRule="auto"/>
        <w:ind w:firstLine="709"/>
        <w:jc w:val="both"/>
        <w:rPr>
          <w:rFonts w:ascii="Times New Roman" w:hAnsi="Times New Roman" w:cs="Times New Roman"/>
          <w:sz w:val="28"/>
          <w:szCs w:val="28"/>
          <w:lang w:val="bg-BG"/>
        </w:rPr>
      </w:pPr>
      <w:r w:rsidRPr="00BE2B92">
        <w:rPr>
          <w:rFonts w:ascii="Times New Roman" w:hAnsi="Times New Roman" w:cs="Times New Roman"/>
          <w:sz w:val="28"/>
          <w:szCs w:val="28"/>
          <w:lang w:val="bg-BG"/>
        </w:rPr>
        <w:t xml:space="preserve">- Закон за горите; </w:t>
      </w:r>
    </w:p>
    <w:p w:rsidR="0066729E" w:rsidRPr="00BE2B92" w:rsidRDefault="0066729E" w:rsidP="00FB409E">
      <w:pPr>
        <w:spacing w:after="0" w:line="360" w:lineRule="auto"/>
        <w:ind w:firstLine="709"/>
        <w:jc w:val="both"/>
        <w:rPr>
          <w:rFonts w:ascii="Times New Roman" w:hAnsi="Times New Roman" w:cs="Times New Roman"/>
          <w:sz w:val="28"/>
          <w:szCs w:val="28"/>
          <w:lang w:val="bg-BG"/>
        </w:rPr>
      </w:pPr>
      <w:r w:rsidRPr="00BE2B92">
        <w:rPr>
          <w:rFonts w:ascii="Times New Roman" w:hAnsi="Times New Roman" w:cs="Times New Roman"/>
          <w:sz w:val="28"/>
          <w:szCs w:val="28"/>
          <w:lang w:val="bg-BG"/>
        </w:rPr>
        <w:lastRenderedPageBreak/>
        <w:t xml:space="preserve">- Закон за чистотата на атмосферния въздух и подзаконовите актове за неговото прилагане; </w:t>
      </w:r>
    </w:p>
    <w:p w:rsidR="0066729E" w:rsidRPr="00BE2B92" w:rsidRDefault="0066729E" w:rsidP="00FB409E">
      <w:pPr>
        <w:spacing w:after="0" w:line="360" w:lineRule="auto"/>
        <w:ind w:firstLine="709"/>
        <w:jc w:val="both"/>
        <w:rPr>
          <w:rFonts w:ascii="Times New Roman" w:hAnsi="Times New Roman" w:cs="Times New Roman"/>
          <w:sz w:val="28"/>
          <w:szCs w:val="28"/>
          <w:lang w:val="bg-BG"/>
        </w:rPr>
      </w:pPr>
      <w:r w:rsidRPr="00BE2B92">
        <w:rPr>
          <w:rFonts w:ascii="Times New Roman" w:hAnsi="Times New Roman" w:cs="Times New Roman"/>
          <w:sz w:val="28"/>
          <w:szCs w:val="28"/>
          <w:lang w:val="bg-BG"/>
        </w:rPr>
        <w:t xml:space="preserve">- Закон за водите; </w:t>
      </w:r>
    </w:p>
    <w:p w:rsidR="0066729E" w:rsidRPr="00BE2B92" w:rsidRDefault="0066729E" w:rsidP="00FB409E">
      <w:pPr>
        <w:spacing w:after="0" w:line="360" w:lineRule="auto"/>
        <w:ind w:firstLine="709"/>
        <w:jc w:val="both"/>
        <w:rPr>
          <w:rFonts w:ascii="Times New Roman" w:hAnsi="Times New Roman" w:cs="Times New Roman"/>
          <w:sz w:val="28"/>
          <w:szCs w:val="28"/>
          <w:lang w:val="bg-BG"/>
        </w:rPr>
      </w:pPr>
      <w:r w:rsidRPr="00BE2B92">
        <w:rPr>
          <w:rFonts w:ascii="Times New Roman" w:hAnsi="Times New Roman" w:cs="Times New Roman"/>
          <w:sz w:val="28"/>
          <w:szCs w:val="28"/>
          <w:lang w:val="bg-BG"/>
        </w:rPr>
        <w:t xml:space="preserve">- Закон за рибарство и аквакултурите; </w:t>
      </w:r>
    </w:p>
    <w:p w:rsidR="0066729E" w:rsidRPr="00BE2B92" w:rsidRDefault="0066729E" w:rsidP="00FB409E">
      <w:pPr>
        <w:spacing w:after="0" w:line="360" w:lineRule="auto"/>
        <w:ind w:firstLine="709"/>
        <w:jc w:val="both"/>
        <w:rPr>
          <w:rFonts w:ascii="Times New Roman" w:hAnsi="Times New Roman" w:cs="Times New Roman"/>
          <w:sz w:val="28"/>
          <w:szCs w:val="28"/>
          <w:lang w:val="bg-BG"/>
        </w:rPr>
      </w:pPr>
      <w:r w:rsidRPr="00BE2B92">
        <w:rPr>
          <w:rFonts w:ascii="Times New Roman" w:hAnsi="Times New Roman" w:cs="Times New Roman"/>
          <w:sz w:val="28"/>
          <w:szCs w:val="28"/>
          <w:lang w:val="bg-BG"/>
        </w:rPr>
        <w:t xml:space="preserve">- 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 изм. и доп. ДВ, бр.73 от 05.09.2006 г. (ЗУТ); </w:t>
      </w:r>
    </w:p>
    <w:p w:rsidR="0066729E" w:rsidRPr="00BE2B92" w:rsidRDefault="0066729E" w:rsidP="00FB409E">
      <w:pPr>
        <w:spacing w:after="0" w:line="360" w:lineRule="auto"/>
        <w:ind w:firstLine="709"/>
        <w:jc w:val="both"/>
        <w:rPr>
          <w:rFonts w:ascii="Times New Roman" w:hAnsi="Times New Roman" w:cs="Times New Roman"/>
          <w:sz w:val="28"/>
          <w:szCs w:val="28"/>
          <w:lang w:val="bg-BG"/>
        </w:rPr>
      </w:pPr>
      <w:r w:rsidRPr="00BE2B92">
        <w:rPr>
          <w:rFonts w:ascii="Times New Roman" w:hAnsi="Times New Roman" w:cs="Times New Roman"/>
          <w:sz w:val="28"/>
          <w:szCs w:val="28"/>
          <w:lang w:val="bg-BG"/>
        </w:rPr>
        <w:t xml:space="preserve">- Наредба за условията и реда за извършване на екологична оценка на планове и програми (ЗООС). </w:t>
      </w:r>
    </w:p>
    <w:p w:rsidR="0066729E" w:rsidRPr="00BE2B92" w:rsidRDefault="0066729E" w:rsidP="00FB409E">
      <w:pPr>
        <w:spacing w:after="0" w:line="360" w:lineRule="auto"/>
        <w:ind w:firstLine="709"/>
        <w:jc w:val="both"/>
        <w:rPr>
          <w:rFonts w:ascii="Times New Roman" w:hAnsi="Times New Roman" w:cs="Times New Roman"/>
          <w:sz w:val="28"/>
          <w:szCs w:val="28"/>
          <w:lang w:val="bg-BG"/>
        </w:rPr>
      </w:pPr>
      <w:r w:rsidRPr="00BE2B92">
        <w:rPr>
          <w:rFonts w:ascii="Times New Roman" w:hAnsi="Times New Roman" w:cs="Times New Roman"/>
          <w:sz w:val="28"/>
          <w:szCs w:val="28"/>
          <w:lang w:val="bg-BG"/>
        </w:rPr>
        <w:t xml:space="preserve">- Наредба за условията и реда за извършване на оценка на въздействието върху околната среда (ЗООС); </w:t>
      </w:r>
    </w:p>
    <w:p w:rsidR="0066729E" w:rsidRPr="00BE2B92" w:rsidRDefault="0066729E" w:rsidP="00FB409E">
      <w:pPr>
        <w:spacing w:after="0" w:line="360" w:lineRule="auto"/>
        <w:ind w:firstLine="709"/>
        <w:jc w:val="both"/>
        <w:rPr>
          <w:rFonts w:ascii="Times New Roman" w:hAnsi="Times New Roman" w:cs="Times New Roman"/>
          <w:sz w:val="28"/>
          <w:szCs w:val="28"/>
          <w:lang w:val="bg-BG"/>
        </w:rPr>
      </w:pPr>
      <w:r w:rsidRPr="00BE2B92">
        <w:rPr>
          <w:rFonts w:ascii="Times New Roman" w:hAnsi="Times New Roman" w:cs="Times New Roman"/>
          <w:sz w:val="28"/>
          <w:szCs w:val="28"/>
          <w:lang w:val="bg-BG"/>
        </w:rPr>
        <w:t xml:space="preserve">- Наредба № 6 от 09.06.2004 г. за присъединяване на производители и потребители на електрическа енергия към преносната и разпределителната електрически мрежи, изм. и доп. ДВ, бр.76 от 27.09.2019 г. (ЗЕ); </w:t>
      </w:r>
    </w:p>
    <w:p w:rsidR="0066729E" w:rsidRPr="00BE2B92" w:rsidRDefault="0066729E" w:rsidP="00FB409E">
      <w:pPr>
        <w:spacing w:after="0" w:line="360" w:lineRule="auto"/>
        <w:ind w:firstLine="709"/>
        <w:jc w:val="both"/>
        <w:rPr>
          <w:rFonts w:ascii="Times New Roman" w:hAnsi="Times New Roman" w:cs="Times New Roman"/>
          <w:sz w:val="28"/>
          <w:szCs w:val="28"/>
          <w:lang w:val="bg-BG"/>
        </w:rPr>
      </w:pPr>
      <w:r w:rsidRPr="00BE2B92">
        <w:rPr>
          <w:rFonts w:ascii="Times New Roman" w:hAnsi="Times New Roman" w:cs="Times New Roman"/>
          <w:sz w:val="28"/>
          <w:szCs w:val="28"/>
          <w:lang w:val="bg-BG"/>
        </w:rPr>
        <w:t xml:space="preserve">- Наредба № 3 от 31.07.2003 г. за актовете и протоколите по време на строителството, изм. и доп. ДВ, бр.56 от 11.07.2017 г. (ЗУТ). </w:t>
      </w:r>
    </w:p>
    <w:p w:rsidR="0066729E" w:rsidRPr="00BE2B92" w:rsidRDefault="0066729E" w:rsidP="00FB409E">
      <w:pPr>
        <w:spacing w:after="0" w:line="360" w:lineRule="auto"/>
        <w:ind w:firstLine="709"/>
        <w:jc w:val="both"/>
        <w:rPr>
          <w:rFonts w:ascii="Times New Roman" w:hAnsi="Times New Roman" w:cs="Times New Roman"/>
          <w:sz w:val="28"/>
          <w:szCs w:val="28"/>
          <w:lang w:val="bg-BG"/>
        </w:rPr>
      </w:pPr>
    </w:p>
    <w:p w:rsidR="0079346A" w:rsidRDefault="005D0C17" w:rsidP="00FB409E">
      <w:pPr>
        <w:pStyle w:val="10"/>
        <w:spacing w:before="0" w:line="360" w:lineRule="auto"/>
        <w:ind w:firstLine="720"/>
        <w:jc w:val="both"/>
        <w:rPr>
          <w:rFonts w:ascii="Times New Roman" w:hAnsi="Times New Roman" w:cs="Times New Roman"/>
          <w:b/>
          <w:color w:val="auto"/>
          <w:sz w:val="28"/>
          <w:szCs w:val="28"/>
          <w:lang w:val="bg-BG"/>
        </w:rPr>
      </w:pPr>
      <w:bookmarkStart w:id="4" w:name="_Toc96613173"/>
      <w:r w:rsidRPr="00BE2B92">
        <w:rPr>
          <w:rFonts w:ascii="Times New Roman" w:hAnsi="Times New Roman" w:cs="Times New Roman"/>
          <w:b/>
          <w:color w:val="auto"/>
          <w:sz w:val="28"/>
          <w:szCs w:val="28"/>
          <w:lang w:val="bg-BG"/>
        </w:rPr>
        <w:t>5. ПРОФИЛ НА ОБЩИНА</w:t>
      </w:r>
      <w:r w:rsidR="0079346A">
        <w:rPr>
          <w:rFonts w:ascii="Times New Roman" w:hAnsi="Times New Roman" w:cs="Times New Roman"/>
          <w:b/>
          <w:color w:val="auto"/>
          <w:sz w:val="28"/>
          <w:szCs w:val="28"/>
          <w:lang w:val="bg-BG"/>
        </w:rPr>
        <w:t xml:space="preserve"> КАЙНАРДЖА</w:t>
      </w:r>
      <w:bookmarkEnd w:id="4"/>
    </w:p>
    <w:p w:rsidR="005D0C17" w:rsidRPr="00BE2B92" w:rsidRDefault="005D0C17" w:rsidP="00FB409E">
      <w:pPr>
        <w:pStyle w:val="10"/>
        <w:spacing w:before="0" w:line="360" w:lineRule="auto"/>
        <w:ind w:firstLine="720"/>
        <w:jc w:val="both"/>
        <w:rPr>
          <w:rFonts w:ascii="Times New Roman" w:hAnsi="Times New Roman" w:cs="Times New Roman"/>
          <w:b/>
          <w:color w:val="auto"/>
          <w:sz w:val="28"/>
          <w:szCs w:val="28"/>
          <w:lang w:val="bg-BG"/>
        </w:rPr>
      </w:pPr>
      <w:r w:rsidRPr="00BE2B92">
        <w:rPr>
          <w:rFonts w:ascii="Times New Roman" w:hAnsi="Times New Roman" w:cs="Times New Roman"/>
          <w:b/>
          <w:color w:val="auto"/>
          <w:sz w:val="28"/>
          <w:szCs w:val="28"/>
          <w:lang w:val="bg-BG"/>
        </w:rPr>
        <w:t xml:space="preserve"> </w:t>
      </w:r>
    </w:p>
    <w:p w:rsidR="005D0C17" w:rsidRPr="00BE2B92" w:rsidRDefault="00796D90" w:rsidP="00FB409E">
      <w:pPr>
        <w:pStyle w:val="10"/>
        <w:spacing w:before="0" w:line="360" w:lineRule="auto"/>
        <w:ind w:firstLine="720"/>
        <w:jc w:val="both"/>
        <w:rPr>
          <w:rFonts w:ascii="Times New Roman" w:hAnsi="Times New Roman" w:cs="Times New Roman"/>
          <w:b/>
          <w:color w:val="auto"/>
          <w:sz w:val="28"/>
          <w:szCs w:val="28"/>
          <w:lang w:val="bg-BG"/>
        </w:rPr>
      </w:pPr>
      <w:bookmarkStart w:id="5" w:name="_Toc96613174"/>
      <w:r>
        <w:rPr>
          <w:rFonts w:ascii="Times New Roman" w:hAnsi="Times New Roman" w:cs="Times New Roman"/>
          <w:b/>
          <w:color w:val="auto"/>
          <w:sz w:val="28"/>
          <w:szCs w:val="28"/>
          <w:lang w:val="bg-BG"/>
        </w:rPr>
        <w:t xml:space="preserve">5.1. </w:t>
      </w:r>
      <w:r w:rsidR="005D0C17" w:rsidRPr="00BE2B92">
        <w:rPr>
          <w:rFonts w:ascii="Times New Roman" w:hAnsi="Times New Roman" w:cs="Times New Roman"/>
          <w:b/>
          <w:color w:val="auto"/>
          <w:sz w:val="28"/>
          <w:szCs w:val="28"/>
          <w:lang w:val="bg-BG"/>
        </w:rPr>
        <w:t xml:space="preserve"> Географско положение, площ, брой населени места, население</w:t>
      </w:r>
      <w:bookmarkEnd w:id="5"/>
      <w:r w:rsidR="005D0C17" w:rsidRPr="00BE2B92">
        <w:rPr>
          <w:rFonts w:ascii="Times New Roman" w:hAnsi="Times New Roman" w:cs="Times New Roman"/>
          <w:b/>
          <w:color w:val="auto"/>
          <w:sz w:val="28"/>
          <w:szCs w:val="28"/>
          <w:lang w:val="bg-BG"/>
        </w:rPr>
        <w:t xml:space="preserve"> </w:t>
      </w:r>
    </w:p>
    <w:p w:rsidR="004616D8" w:rsidRPr="00BE2B92" w:rsidRDefault="004616D8" w:rsidP="00FB409E">
      <w:pPr>
        <w:widowControl w:val="0"/>
        <w:autoSpaceDE w:val="0"/>
        <w:autoSpaceDN w:val="0"/>
        <w:spacing w:after="0" w:line="360" w:lineRule="auto"/>
        <w:ind w:firstLine="276"/>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Община</w:t>
      </w:r>
      <w:r w:rsidRPr="00BE2B92">
        <w:rPr>
          <w:rFonts w:ascii="Times New Roman" w:eastAsia="Calibri" w:hAnsi="Times New Roman" w:cs="Times New Roman"/>
          <w:spacing w:val="10"/>
          <w:sz w:val="28"/>
          <w:szCs w:val="28"/>
          <w:lang w:val="bg-BG"/>
        </w:rPr>
        <w:t xml:space="preserve"> </w:t>
      </w:r>
      <w:r w:rsidRPr="00BE2B92">
        <w:rPr>
          <w:rFonts w:ascii="Times New Roman" w:eastAsia="Calibri" w:hAnsi="Times New Roman" w:cs="Times New Roman"/>
          <w:sz w:val="28"/>
          <w:szCs w:val="28"/>
          <w:lang w:val="bg-BG"/>
        </w:rPr>
        <w:t>Кайнарджа</w:t>
      </w:r>
      <w:r w:rsidRPr="00BE2B92">
        <w:rPr>
          <w:rFonts w:ascii="Times New Roman" w:eastAsia="Calibri" w:hAnsi="Times New Roman" w:cs="Times New Roman"/>
          <w:spacing w:val="10"/>
          <w:sz w:val="28"/>
          <w:szCs w:val="28"/>
          <w:lang w:val="bg-BG"/>
        </w:rPr>
        <w:t xml:space="preserve"> </w:t>
      </w:r>
      <w:r w:rsidRPr="00BE2B92">
        <w:rPr>
          <w:rFonts w:ascii="Times New Roman" w:eastAsia="Calibri" w:hAnsi="Times New Roman" w:cs="Times New Roman"/>
          <w:sz w:val="28"/>
          <w:szCs w:val="28"/>
          <w:lang w:val="bg-BG"/>
        </w:rPr>
        <w:t>е</w:t>
      </w:r>
      <w:r w:rsidRPr="00BE2B92">
        <w:rPr>
          <w:rFonts w:ascii="Times New Roman" w:eastAsia="Calibri" w:hAnsi="Times New Roman" w:cs="Times New Roman"/>
          <w:spacing w:val="12"/>
          <w:sz w:val="28"/>
          <w:szCs w:val="28"/>
          <w:lang w:val="bg-BG"/>
        </w:rPr>
        <w:t xml:space="preserve"> </w:t>
      </w:r>
      <w:r w:rsidRPr="00BE2B92">
        <w:rPr>
          <w:rFonts w:ascii="Times New Roman" w:eastAsia="Calibri" w:hAnsi="Times New Roman" w:cs="Times New Roman"/>
          <w:sz w:val="28"/>
          <w:szCs w:val="28"/>
          <w:lang w:val="bg-BG"/>
        </w:rPr>
        <w:t>разположена</w:t>
      </w:r>
      <w:r w:rsidRPr="00BE2B92">
        <w:rPr>
          <w:rFonts w:ascii="Times New Roman" w:eastAsia="Calibri" w:hAnsi="Times New Roman" w:cs="Times New Roman"/>
          <w:spacing w:val="11"/>
          <w:sz w:val="28"/>
          <w:szCs w:val="28"/>
          <w:lang w:val="bg-BG"/>
        </w:rPr>
        <w:t xml:space="preserve"> </w:t>
      </w:r>
      <w:r w:rsidRPr="00BE2B92">
        <w:rPr>
          <w:rFonts w:ascii="Times New Roman" w:eastAsia="Calibri" w:hAnsi="Times New Roman" w:cs="Times New Roman"/>
          <w:sz w:val="28"/>
          <w:szCs w:val="28"/>
          <w:lang w:val="bg-BG"/>
        </w:rPr>
        <w:t>в</w:t>
      </w:r>
      <w:r w:rsidRPr="00BE2B92">
        <w:rPr>
          <w:rFonts w:ascii="Times New Roman" w:eastAsia="Calibri" w:hAnsi="Times New Roman" w:cs="Times New Roman"/>
          <w:spacing w:val="23"/>
          <w:sz w:val="28"/>
          <w:szCs w:val="28"/>
          <w:lang w:val="bg-BG"/>
        </w:rPr>
        <w:t xml:space="preserve"> </w:t>
      </w:r>
      <w:r w:rsidRPr="00BE2B92">
        <w:rPr>
          <w:rFonts w:ascii="Times New Roman" w:eastAsia="Calibri" w:hAnsi="Times New Roman" w:cs="Times New Roman"/>
          <w:sz w:val="28"/>
          <w:szCs w:val="28"/>
          <w:lang w:val="bg-BG"/>
        </w:rPr>
        <w:t>Североизточна</w:t>
      </w:r>
      <w:r w:rsidRPr="00BE2B92">
        <w:rPr>
          <w:rFonts w:ascii="Times New Roman" w:eastAsia="Calibri" w:hAnsi="Times New Roman" w:cs="Times New Roman"/>
          <w:spacing w:val="9"/>
          <w:sz w:val="28"/>
          <w:szCs w:val="28"/>
          <w:lang w:val="bg-BG"/>
        </w:rPr>
        <w:t xml:space="preserve"> </w:t>
      </w:r>
      <w:r w:rsidRPr="00BE2B92">
        <w:rPr>
          <w:rFonts w:ascii="Times New Roman" w:eastAsia="Calibri" w:hAnsi="Times New Roman" w:cs="Times New Roman"/>
          <w:sz w:val="28"/>
          <w:szCs w:val="28"/>
          <w:lang w:val="bg-BG"/>
        </w:rPr>
        <w:t>България,</w:t>
      </w:r>
      <w:r w:rsidRPr="00BE2B92">
        <w:rPr>
          <w:rFonts w:ascii="Times New Roman" w:eastAsia="Calibri" w:hAnsi="Times New Roman" w:cs="Times New Roman"/>
          <w:spacing w:val="11"/>
          <w:sz w:val="28"/>
          <w:szCs w:val="28"/>
          <w:lang w:val="bg-BG"/>
        </w:rPr>
        <w:t xml:space="preserve"> </w:t>
      </w:r>
      <w:r w:rsidRPr="00BE2B92">
        <w:rPr>
          <w:rFonts w:ascii="Times New Roman" w:eastAsia="Calibri" w:hAnsi="Times New Roman" w:cs="Times New Roman"/>
          <w:sz w:val="28"/>
          <w:szCs w:val="28"/>
          <w:lang w:val="bg-BG"/>
        </w:rPr>
        <w:t>в източната</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част</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на</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Дунавската равнина и на Силистренска област, в Провадийско-Лудогорск</w:t>
      </w:r>
      <w:r w:rsidR="00D77B0B">
        <w:rPr>
          <w:rFonts w:ascii="Times New Roman" w:eastAsia="Calibri" w:hAnsi="Times New Roman" w:cs="Times New Roman"/>
          <w:sz w:val="28"/>
          <w:szCs w:val="28"/>
          <w:lang w:val="bg-BG"/>
        </w:rPr>
        <w:t>о-Д</w:t>
      </w:r>
      <w:r w:rsidRPr="00BE2B92">
        <w:rPr>
          <w:rFonts w:ascii="Times New Roman" w:eastAsia="Calibri" w:hAnsi="Times New Roman" w:cs="Times New Roman"/>
          <w:sz w:val="28"/>
          <w:szCs w:val="28"/>
          <w:lang w:val="bg-BG"/>
        </w:rPr>
        <w:t>обруджанската платовидна подобласт.</w:t>
      </w:r>
    </w:p>
    <w:p w:rsidR="00496DA2" w:rsidRPr="00BE2B92" w:rsidRDefault="00496DA2" w:rsidP="00FB409E">
      <w:pPr>
        <w:widowControl w:val="0"/>
        <w:autoSpaceDE w:val="0"/>
        <w:autoSpaceDN w:val="0"/>
        <w:spacing w:after="0" w:line="360" w:lineRule="auto"/>
        <w:jc w:val="both"/>
        <w:rPr>
          <w:rFonts w:ascii="Times New Roman" w:eastAsia="Calibri" w:hAnsi="Times New Roman" w:cs="Times New Roman"/>
          <w:sz w:val="28"/>
          <w:szCs w:val="28"/>
          <w:lang w:val="bg-BG"/>
        </w:rPr>
      </w:pPr>
      <w:r w:rsidRPr="00BE2B92">
        <w:rPr>
          <w:noProof/>
          <w:lang w:val="en-GB" w:eastAsia="en-GB"/>
        </w:rPr>
        <w:lastRenderedPageBreak/>
        <w:drawing>
          <wp:inline distT="0" distB="0" distL="0" distR="0" wp14:anchorId="7F876C83" wp14:editId="095AD434">
            <wp:extent cx="5972522" cy="4610100"/>
            <wp:effectExtent l="0" t="0" r="9525" b="0"/>
            <wp:docPr id="6" name="Картина 6" descr="Bulgaria Kaynardzha Municipality geographic map bg.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garia Kaynardzha Municipality geographic map bg.sv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3504" cy="4610858"/>
                    </a:xfrm>
                    <a:prstGeom prst="rect">
                      <a:avLst/>
                    </a:prstGeom>
                    <a:noFill/>
                    <a:ln>
                      <a:noFill/>
                    </a:ln>
                  </pic:spPr>
                </pic:pic>
              </a:graphicData>
            </a:graphic>
          </wp:inline>
        </w:drawing>
      </w:r>
    </w:p>
    <w:p w:rsidR="00496DA2" w:rsidRDefault="00444611" w:rsidP="00FB409E">
      <w:pPr>
        <w:widowControl w:val="0"/>
        <w:autoSpaceDE w:val="0"/>
        <w:autoSpaceDN w:val="0"/>
        <w:spacing w:after="0" w:line="360" w:lineRule="auto"/>
        <w:ind w:firstLine="709"/>
        <w:jc w:val="both"/>
        <w:rPr>
          <w:rFonts w:ascii="Times New Roman" w:eastAsia="Calibri" w:hAnsi="Times New Roman" w:cs="Times New Roman"/>
          <w:i/>
          <w:lang w:val="bg-BG"/>
        </w:rPr>
      </w:pPr>
      <w:r>
        <w:rPr>
          <w:rFonts w:ascii="Times New Roman" w:eastAsia="Calibri" w:hAnsi="Times New Roman" w:cs="Times New Roman"/>
          <w:i/>
          <w:lang w:val="bg-BG"/>
        </w:rPr>
        <w:t>Географско разположение на община Кайнарджа</w:t>
      </w:r>
    </w:p>
    <w:p w:rsidR="00444611" w:rsidRPr="00444611" w:rsidRDefault="00444611" w:rsidP="00FB409E">
      <w:pPr>
        <w:widowControl w:val="0"/>
        <w:autoSpaceDE w:val="0"/>
        <w:autoSpaceDN w:val="0"/>
        <w:spacing w:after="0" w:line="360" w:lineRule="auto"/>
        <w:ind w:firstLine="709"/>
        <w:jc w:val="both"/>
        <w:rPr>
          <w:rFonts w:ascii="Times New Roman" w:eastAsia="Calibri" w:hAnsi="Times New Roman" w:cs="Times New Roman"/>
          <w:i/>
          <w:lang w:val="bg-BG"/>
        </w:rPr>
      </w:pPr>
    </w:p>
    <w:p w:rsidR="004616D8" w:rsidRPr="00BE2B92" w:rsidRDefault="004616D8" w:rsidP="00471A06">
      <w:pPr>
        <w:widowControl w:val="0"/>
        <w:autoSpaceDE w:val="0"/>
        <w:autoSpaceDN w:val="0"/>
        <w:spacing w:after="0" w:line="360" w:lineRule="auto"/>
        <w:ind w:firstLine="709"/>
        <w:jc w:val="both"/>
        <w:rPr>
          <w:rFonts w:ascii="Times New Roman" w:eastAsia="Calibri" w:hAnsi="Times New Roman" w:cs="Times New Roman"/>
          <w:spacing w:val="1"/>
          <w:sz w:val="28"/>
          <w:szCs w:val="28"/>
          <w:lang w:val="bg-BG"/>
        </w:rPr>
      </w:pPr>
      <w:r w:rsidRPr="00BE2B92">
        <w:rPr>
          <w:rFonts w:ascii="Times New Roman" w:eastAsia="Calibri" w:hAnsi="Times New Roman" w:cs="Times New Roman"/>
          <w:sz w:val="28"/>
          <w:szCs w:val="28"/>
          <w:lang w:val="bg-BG"/>
        </w:rPr>
        <w:t>Граничи с общините</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Силистра и Алфатар (област Силистра) на запад, на югоизток</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с</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Крушари и Тервел (област</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Добрич)</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и</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на</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север</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чрез</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сухоземната</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българо-румънска</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граница</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 с</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общините</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Липница</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и</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Баняса</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от</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окръг</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Констанца</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на</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Република</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Румъния.</w:t>
      </w:r>
      <w:r w:rsidRPr="00BE2B92">
        <w:rPr>
          <w:rFonts w:ascii="Times New Roman" w:eastAsia="Calibri" w:hAnsi="Times New Roman" w:cs="Times New Roman"/>
          <w:spacing w:val="1"/>
          <w:sz w:val="28"/>
          <w:szCs w:val="28"/>
          <w:lang w:val="bg-BG"/>
        </w:rPr>
        <w:t xml:space="preserve"> </w:t>
      </w:r>
    </w:p>
    <w:p w:rsidR="004616D8" w:rsidRPr="00BE2B92" w:rsidRDefault="004616D8" w:rsidP="00471A06">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pacing w:val="1"/>
          <w:sz w:val="28"/>
          <w:szCs w:val="28"/>
          <w:lang w:val="bg-BG"/>
        </w:rPr>
        <w:t xml:space="preserve">Общинският център – с. Кайнарджа отстои на </w:t>
      </w:r>
      <w:r w:rsidRPr="00BE2B92">
        <w:rPr>
          <w:rFonts w:ascii="Times New Roman" w:eastAsia="Calibri" w:hAnsi="Times New Roman" w:cs="Times New Roman"/>
          <w:sz w:val="28"/>
          <w:szCs w:val="28"/>
          <w:lang w:val="bg-BG"/>
        </w:rPr>
        <w:t>29</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км.</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югоизточно</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от</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областния</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град</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Силистра. През</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територията на общината</w:t>
      </w:r>
      <w:r w:rsidRPr="00BE2B92">
        <w:rPr>
          <w:rFonts w:ascii="Times New Roman" w:eastAsia="Calibri" w:hAnsi="Times New Roman" w:cs="Times New Roman"/>
          <w:spacing w:val="30"/>
          <w:sz w:val="28"/>
          <w:szCs w:val="28"/>
          <w:lang w:val="bg-BG"/>
        </w:rPr>
        <w:t xml:space="preserve"> </w:t>
      </w:r>
      <w:r w:rsidRPr="00BE2B92">
        <w:rPr>
          <w:rFonts w:ascii="Times New Roman" w:eastAsia="Calibri" w:hAnsi="Times New Roman" w:cs="Times New Roman"/>
          <w:sz w:val="28"/>
          <w:szCs w:val="28"/>
          <w:lang w:val="bg-BG"/>
        </w:rPr>
        <w:t>могат</w:t>
      </w:r>
      <w:r w:rsidRPr="00BE2B92">
        <w:rPr>
          <w:rFonts w:ascii="Times New Roman" w:eastAsia="Calibri" w:hAnsi="Times New Roman" w:cs="Times New Roman"/>
          <w:spacing w:val="30"/>
          <w:sz w:val="28"/>
          <w:szCs w:val="28"/>
          <w:lang w:val="bg-BG"/>
        </w:rPr>
        <w:t xml:space="preserve"> </w:t>
      </w:r>
      <w:r w:rsidRPr="00BE2B92">
        <w:rPr>
          <w:rFonts w:ascii="Times New Roman" w:eastAsia="Calibri" w:hAnsi="Times New Roman" w:cs="Times New Roman"/>
          <w:sz w:val="28"/>
          <w:szCs w:val="28"/>
          <w:lang w:val="bg-BG"/>
        </w:rPr>
        <w:t>да</w:t>
      </w:r>
      <w:r w:rsidRPr="00BE2B92">
        <w:rPr>
          <w:rFonts w:ascii="Times New Roman" w:eastAsia="Calibri" w:hAnsi="Times New Roman" w:cs="Times New Roman"/>
          <w:spacing w:val="28"/>
          <w:sz w:val="28"/>
          <w:szCs w:val="28"/>
          <w:lang w:val="bg-BG"/>
        </w:rPr>
        <w:t xml:space="preserve"> </w:t>
      </w:r>
      <w:r w:rsidRPr="00BE2B92">
        <w:rPr>
          <w:rFonts w:ascii="Times New Roman" w:eastAsia="Calibri" w:hAnsi="Times New Roman" w:cs="Times New Roman"/>
          <w:sz w:val="28"/>
          <w:szCs w:val="28"/>
          <w:lang w:val="bg-BG"/>
        </w:rPr>
        <w:t>се</w:t>
      </w:r>
      <w:r w:rsidRPr="00BE2B92">
        <w:rPr>
          <w:rFonts w:ascii="Times New Roman" w:eastAsia="Calibri" w:hAnsi="Times New Roman" w:cs="Times New Roman"/>
          <w:spacing w:val="29"/>
          <w:sz w:val="28"/>
          <w:szCs w:val="28"/>
          <w:lang w:val="bg-BG"/>
        </w:rPr>
        <w:t xml:space="preserve"> </w:t>
      </w:r>
      <w:r w:rsidRPr="00BE2B92">
        <w:rPr>
          <w:rFonts w:ascii="Times New Roman" w:eastAsia="Calibri" w:hAnsi="Times New Roman" w:cs="Times New Roman"/>
          <w:sz w:val="28"/>
          <w:szCs w:val="28"/>
          <w:lang w:val="bg-BG"/>
        </w:rPr>
        <w:t>направят</w:t>
      </w:r>
      <w:r w:rsidRPr="00BE2B92">
        <w:rPr>
          <w:rFonts w:ascii="Times New Roman" w:eastAsia="Calibri" w:hAnsi="Times New Roman" w:cs="Times New Roman"/>
          <w:spacing w:val="29"/>
          <w:sz w:val="28"/>
          <w:szCs w:val="28"/>
          <w:lang w:val="bg-BG"/>
        </w:rPr>
        <w:t xml:space="preserve"> </w:t>
      </w:r>
      <w:r w:rsidRPr="00BE2B92">
        <w:rPr>
          <w:rFonts w:ascii="Times New Roman" w:eastAsia="Calibri" w:hAnsi="Times New Roman" w:cs="Times New Roman"/>
          <w:sz w:val="28"/>
          <w:szCs w:val="28"/>
          <w:lang w:val="bg-BG"/>
        </w:rPr>
        <w:t>връзки</w:t>
      </w:r>
      <w:r w:rsidRPr="00BE2B92">
        <w:rPr>
          <w:rFonts w:ascii="Times New Roman" w:eastAsia="Calibri" w:hAnsi="Times New Roman" w:cs="Times New Roman"/>
          <w:spacing w:val="29"/>
          <w:sz w:val="28"/>
          <w:szCs w:val="28"/>
          <w:lang w:val="bg-BG"/>
        </w:rPr>
        <w:t xml:space="preserve"> </w:t>
      </w:r>
      <w:r w:rsidRPr="00BE2B92">
        <w:rPr>
          <w:rFonts w:ascii="Times New Roman" w:eastAsia="Calibri" w:hAnsi="Times New Roman" w:cs="Times New Roman"/>
          <w:sz w:val="28"/>
          <w:szCs w:val="28"/>
          <w:lang w:val="bg-BG"/>
        </w:rPr>
        <w:t>с</w:t>
      </w:r>
      <w:r w:rsidRPr="00BE2B92">
        <w:rPr>
          <w:rFonts w:ascii="Times New Roman" w:eastAsia="Calibri" w:hAnsi="Times New Roman" w:cs="Times New Roman"/>
          <w:spacing w:val="26"/>
          <w:sz w:val="28"/>
          <w:szCs w:val="28"/>
          <w:lang w:val="bg-BG"/>
        </w:rPr>
        <w:t xml:space="preserve"> </w:t>
      </w:r>
      <w:r w:rsidRPr="00BE2B92">
        <w:rPr>
          <w:rFonts w:ascii="Times New Roman" w:eastAsia="Calibri" w:hAnsi="Times New Roman" w:cs="Times New Roman"/>
          <w:sz w:val="28"/>
          <w:szCs w:val="28"/>
          <w:lang w:val="bg-BG"/>
        </w:rPr>
        <w:t>област</w:t>
      </w:r>
      <w:r w:rsidRPr="00BE2B92">
        <w:rPr>
          <w:rFonts w:ascii="Times New Roman" w:eastAsia="Calibri" w:hAnsi="Times New Roman" w:cs="Times New Roman"/>
          <w:spacing w:val="27"/>
          <w:sz w:val="28"/>
          <w:szCs w:val="28"/>
          <w:lang w:val="bg-BG"/>
        </w:rPr>
        <w:t xml:space="preserve"> </w:t>
      </w:r>
      <w:r w:rsidRPr="00BE2B92">
        <w:rPr>
          <w:rFonts w:ascii="Times New Roman" w:eastAsia="Calibri" w:hAnsi="Times New Roman" w:cs="Times New Roman"/>
          <w:sz w:val="28"/>
          <w:szCs w:val="28"/>
          <w:lang w:val="bg-BG"/>
        </w:rPr>
        <w:t>Добрич,</w:t>
      </w:r>
      <w:r w:rsidRPr="00BE2B92">
        <w:rPr>
          <w:rFonts w:ascii="Times New Roman" w:eastAsia="Calibri" w:hAnsi="Times New Roman" w:cs="Times New Roman"/>
          <w:spacing w:val="26"/>
          <w:sz w:val="28"/>
          <w:szCs w:val="28"/>
          <w:lang w:val="bg-BG"/>
        </w:rPr>
        <w:t xml:space="preserve"> </w:t>
      </w:r>
      <w:r w:rsidRPr="00BE2B92">
        <w:rPr>
          <w:rFonts w:ascii="Times New Roman" w:eastAsia="Calibri" w:hAnsi="Times New Roman" w:cs="Times New Roman"/>
          <w:sz w:val="28"/>
          <w:szCs w:val="28"/>
          <w:lang w:val="bg-BG"/>
        </w:rPr>
        <w:t>както</w:t>
      </w:r>
      <w:r w:rsidRPr="00BE2B92">
        <w:rPr>
          <w:rFonts w:ascii="Times New Roman" w:eastAsia="Calibri" w:hAnsi="Times New Roman" w:cs="Times New Roman"/>
          <w:spacing w:val="28"/>
          <w:sz w:val="28"/>
          <w:szCs w:val="28"/>
          <w:lang w:val="bg-BG"/>
        </w:rPr>
        <w:t xml:space="preserve"> </w:t>
      </w:r>
      <w:r w:rsidRPr="00BE2B92">
        <w:rPr>
          <w:rFonts w:ascii="Times New Roman" w:eastAsia="Calibri" w:hAnsi="Times New Roman" w:cs="Times New Roman"/>
          <w:sz w:val="28"/>
          <w:szCs w:val="28"/>
          <w:lang w:val="bg-BG"/>
        </w:rPr>
        <w:t>и</w:t>
      </w:r>
      <w:r w:rsidRPr="00BE2B92">
        <w:rPr>
          <w:rFonts w:ascii="Times New Roman" w:eastAsia="Calibri" w:hAnsi="Times New Roman" w:cs="Times New Roman"/>
          <w:spacing w:val="29"/>
          <w:sz w:val="28"/>
          <w:szCs w:val="28"/>
          <w:lang w:val="bg-BG"/>
        </w:rPr>
        <w:t xml:space="preserve"> </w:t>
      </w:r>
      <w:r w:rsidRPr="00BE2B92">
        <w:rPr>
          <w:rFonts w:ascii="Times New Roman" w:eastAsia="Calibri" w:hAnsi="Times New Roman" w:cs="Times New Roman"/>
          <w:sz w:val="28"/>
          <w:szCs w:val="28"/>
          <w:lang w:val="bg-BG"/>
        </w:rPr>
        <w:t>с</w:t>
      </w:r>
      <w:r w:rsidRPr="00BE2B92">
        <w:rPr>
          <w:rFonts w:ascii="Times New Roman" w:eastAsia="Calibri" w:hAnsi="Times New Roman" w:cs="Times New Roman"/>
          <w:spacing w:val="28"/>
          <w:sz w:val="28"/>
          <w:szCs w:val="28"/>
          <w:lang w:val="bg-BG"/>
        </w:rPr>
        <w:t xml:space="preserve"> </w:t>
      </w:r>
      <w:r w:rsidRPr="00BE2B92">
        <w:rPr>
          <w:rFonts w:ascii="Times New Roman" w:eastAsia="Calibri" w:hAnsi="Times New Roman" w:cs="Times New Roman"/>
          <w:sz w:val="28"/>
          <w:szCs w:val="28"/>
          <w:lang w:val="bg-BG"/>
        </w:rPr>
        <w:t>Република</w:t>
      </w:r>
      <w:r w:rsidRPr="00BE2B92">
        <w:rPr>
          <w:rFonts w:ascii="Times New Roman" w:eastAsia="Calibri" w:hAnsi="Times New Roman" w:cs="Times New Roman"/>
          <w:spacing w:val="25"/>
          <w:sz w:val="28"/>
          <w:szCs w:val="28"/>
          <w:lang w:val="bg-BG"/>
        </w:rPr>
        <w:t xml:space="preserve"> </w:t>
      </w:r>
      <w:r w:rsidRPr="00BE2B92">
        <w:rPr>
          <w:rFonts w:ascii="Times New Roman" w:eastAsia="Calibri" w:hAnsi="Times New Roman" w:cs="Times New Roman"/>
          <w:sz w:val="28"/>
          <w:szCs w:val="28"/>
          <w:lang w:val="bg-BG"/>
        </w:rPr>
        <w:t>Румъния през ГКПП Кайнарджа-Липница, Румъния.</w:t>
      </w:r>
    </w:p>
    <w:p w:rsidR="004616D8" w:rsidRPr="00BE2B92" w:rsidRDefault="004616D8" w:rsidP="00471A06">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Общата площ на общината е 314,96 кв. км. или 11,07% от територията на област Силистра.</w:t>
      </w:r>
    </w:p>
    <w:p w:rsidR="004616D8" w:rsidRPr="00BE2B92" w:rsidRDefault="004616D8" w:rsidP="00471A06">
      <w:pPr>
        <w:widowControl w:val="0"/>
        <w:tabs>
          <w:tab w:val="left" w:pos="993"/>
        </w:tabs>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lastRenderedPageBreak/>
        <w:t>Селищната мрежа  в нея включва 15 населени</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места, селата:</w:t>
      </w:r>
      <w:r w:rsidRPr="00BE2B92">
        <w:rPr>
          <w:rFonts w:ascii="Times New Roman" w:eastAsia="Calibri" w:hAnsi="Times New Roman" w:cs="Times New Roman"/>
          <w:spacing w:val="1"/>
          <w:sz w:val="28"/>
          <w:szCs w:val="28"/>
          <w:lang w:val="bg-BG"/>
        </w:rPr>
        <w:t xml:space="preserve"> Кайнарджа, </w:t>
      </w:r>
      <w:r w:rsidRPr="00BE2B92">
        <w:rPr>
          <w:rFonts w:ascii="Times New Roman" w:eastAsia="Calibri" w:hAnsi="Times New Roman" w:cs="Times New Roman"/>
          <w:sz w:val="28"/>
          <w:szCs w:val="28"/>
          <w:lang w:val="bg-BG"/>
        </w:rPr>
        <w:t>Войново,</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Голеш,</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Господиново,</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Давидово,</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Добруджанка,</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Зарник,</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Каменци,</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Краново,</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Полковник</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Чолаково,</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Попрусаново, Посев,</w:t>
      </w:r>
      <w:r w:rsidRPr="00BE2B92">
        <w:rPr>
          <w:rFonts w:ascii="Times New Roman" w:eastAsia="Calibri" w:hAnsi="Times New Roman" w:cs="Times New Roman"/>
          <w:spacing w:val="1"/>
          <w:sz w:val="28"/>
          <w:szCs w:val="28"/>
          <w:lang w:val="bg-BG"/>
        </w:rPr>
        <w:t xml:space="preserve"> </w:t>
      </w:r>
      <w:r w:rsidRPr="00BE2B92">
        <w:rPr>
          <w:rFonts w:ascii="Times New Roman" w:eastAsia="Calibri" w:hAnsi="Times New Roman" w:cs="Times New Roman"/>
          <w:sz w:val="28"/>
          <w:szCs w:val="28"/>
          <w:lang w:val="bg-BG"/>
        </w:rPr>
        <w:t>Светослав,</w:t>
      </w:r>
      <w:r w:rsidRPr="00BE2B92">
        <w:rPr>
          <w:rFonts w:ascii="Times New Roman" w:eastAsia="Calibri" w:hAnsi="Times New Roman" w:cs="Times New Roman"/>
          <w:spacing w:val="-3"/>
          <w:sz w:val="28"/>
          <w:szCs w:val="28"/>
          <w:lang w:val="bg-BG"/>
        </w:rPr>
        <w:t xml:space="preserve"> </w:t>
      </w:r>
      <w:r w:rsidRPr="00BE2B92">
        <w:rPr>
          <w:rFonts w:ascii="Times New Roman" w:eastAsia="Calibri" w:hAnsi="Times New Roman" w:cs="Times New Roman"/>
          <w:sz w:val="28"/>
          <w:szCs w:val="28"/>
          <w:lang w:val="bg-BG"/>
        </w:rPr>
        <w:t>Средище,</w:t>
      </w:r>
      <w:r w:rsidRPr="00BE2B92">
        <w:rPr>
          <w:rFonts w:ascii="Times New Roman" w:eastAsia="Calibri" w:hAnsi="Times New Roman" w:cs="Times New Roman"/>
          <w:spacing w:val="-2"/>
          <w:sz w:val="28"/>
          <w:szCs w:val="28"/>
          <w:lang w:val="bg-BG"/>
        </w:rPr>
        <w:t xml:space="preserve"> </w:t>
      </w:r>
      <w:r w:rsidRPr="00BE2B92">
        <w:rPr>
          <w:rFonts w:ascii="Times New Roman" w:eastAsia="Calibri" w:hAnsi="Times New Roman" w:cs="Times New Roman"/>
          <w:sz w:val="28"/>
          <w:szCs w:val="28"/>
          <w:lang w:val="bg-BG"/>
        </w:rPr>
        <w:t xml:space="preserve">Стрелково. </w:t>
      </w:r>
    </w:p>
    <w:p w:rsidR="004616D8" w:rsidRPr="00BE2B92" w:rsidRDefault="004616D8" w:rsidP="00471A06">
      <w:pPr>
        <w:widowControl w:val="0"/>
        <w:tabs>
          <w:tab w:val="left" w:pos="993"/>
        </w:tabs>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Общият брой на населението в община Кайнарджа по данни на НСИ към 31.12.2020 г. е 5 001 души (4,7 % от населението на областта). 11% от населението живее в общинския център - с. Кайнарджа.</w:t>
      </w:r>
    </w:p>
    <w:p w:rsidR="00496DA2" w:rsidRPr="00BE2B92" w:rsidRDefault="00496DA2" w:rsidP="00471A06">
      <w:pPr>
        <w:widowControl w:val="0"/>
        <w:tabs>
          <w:tab w:val="left" w:pos="993"/>
        </w:tabs>
        <w:autoSpaceDE w:val="0"/>
        <w:autoSpaceDN w:val="0"/>
        <w:spacing w:after="0" w:line="360" w:lineRule="auto"/>
        <w:ind w:firstLine="709"/>
        <w:jc w:val="both"/>
        <w:rPr>
          <w:rFonts w:ascii="Times New Roman" w:eastAsia="Calibri" w:hAnsi="Times New Roman" w:cs="Times New Roman"/>
          <w:sz w:val="28"/>
          <w:szCs w:val="28"/>
          <w:lang w:val="bg-BG"/>
        </w:rPr>
      </w:pPr>
    </w:p>
    <w:p w:rsidR="004616D8" w:rsidRPr="00BE2B92" w:rsidRDefault="00796D90" w:rsidP="00471A06">
      <w:pPr>
        <w:widowControl w:val="0"/>
        <w:tabs>
          <w:tab w:val="left" w:pos="993"/>
        </w:tabs>
        <w:autoSpaceDE w:val="0"/>
        <w:autoSpaceDN w:val="0"/>
        <w:spacing w:after="0" w:line="360" w:lineRule="auto"/>
        <w:ind w:firstLine="709"/>
        <w:jc w:val="both"/>
        <w:outlineLvl w:val="2"/>
        <w:rPr>
          <w:rFonts w:ascii="Times New Roman" w:eastAsia="Calibri" w:hAnsi="Times New Roman" w:cs="Times New Roman"/>
          <w:b/>
          <w:sz w:val="28"/>
          <w:szCs w:val="28"/>
          <w:lang w:val="bg-BG"/>
        </w:rPr>
      </w:pPr>
      <w:bookmarkStart w:id="6" w:name="_Toc87447835"/>
      <w:bookmarkStart w:id="7" w:name="_Toc91731248"/>
      <w:bookmarkStart w:id="8" w:name="_Toc96613175"/>
      <w:r>
        <w:rPr>
          <w:rFonts w:ascii="Times New Roman" w:eastAsia="Calibri" w:hAnsi="Times New Roman" w:cs="Times New Roman"/>
          <w:b/>
          <w:sz w:val="28"/>
          <w:szCs w:val="28"/>
          <w:lang w:val="bg-BG"/>
        </w:rPr>
        <w:t>5</w:t>
      </w:r>
      <w:r w:rsidR="004616D8" w:rsidRPr="00BE2B92">
        <w:rPr>
          <w:rFonts w:ascii="Times New Roman" w:eastAsia="Calibri" w:hAnsi="Times New Roman" w:cs="Times New Roman"/>
          <w:b/>
          <w:sz w:val="28"/>
          <w:szCs w:val="28"/>
          <w:lang w:val="bg-BG"/>
        </w:rPr>
        <w:t>.2.</w:t>
      </w:r>
      <w:r w:rsidR="004616D8" w:rsidRPr="00BE2B92">
        <w:rPr>
          <w:rFonts w:ascii="Times New Roman" w:eastAsia="Calibri" w:hAnsi="Times New Roman" w:cs="Times New Roman"/>
          <w:b/>
          <w:sz w:val="28"/>
          <w:szCs w:val="28"/>
          <w:lang w:val="bg-BG"/>
        </w:rPr>
        <w:tab/>
        <w:t>Природни условия и състояние на околната среда</w:t>
      </w:r>
      <w:bookmarkEnd w:id="6"/>
      <w:bookmarkEnd w:id="7"/>
      <w:bookmarkEnd w:id="8"/>
      <w:r w:rsidR="004616D8" w:rsidRPr="00BE2B92">
        <w:rPr>
          <w:rFonts w:ascii="Times New Roman" w:eastAsia="Calibri" w:hAnsi="Times New Roman" w:cs="Times New Roman"/>
          <w:b/>
          <w:sz w:val="28"/>
          <w:szCs w:val="28"/>
          <w:lang w:val="bg-BG"/>
        </w:rPr>
        <w:t xml:space="preserve"> </w:t>
      </w:r>
    </w:p>
    <w:p w:rsidR="00496DA2" w:rsidRPr="00BE2B92" w:rsidRDefault="00496DA2" w:rsidP="00471A06">
      <w:pPr>
        <w:widowControl w:val="0"/>
        <w:tabs>
          <w:tab w:val="left" w:pos="993"/>
        </w:tabs>
        <w:autoSpaceDE w:val="0"/>
        <w:autoSpaceDN w:val="0"/>
        <w:spacing w:after="0" w:line="360" w:lineRule="auto"/>
        <w:ind w:firstLine="709"/>
        <w:jc w:val="both"/>
        <w:outlineLvl w:val="2"/>
        <w:rPr>
          <w:rFonts w:ascii="Times New Roman" w:eastAsia="Calibri" w:hAnsi="Times New Roman" w:cs="Times New Roman"/>
          <w:b/>
          <w:sz w:val="28"/>
          <w:szCs w:val="28"/>
          <w:lang w:val="bg-BG"/>
        </w:rPr>
      </w:pPr>
    </w:p>
    <w:p w:rsidR="004616D8" w:rsidRPr="00BE2B92" w:rsidRDefault="004616D8" w:rsidP="00471A06">
      <w:pPr>
        <w:widowControl w:val="0"/>
        <w:tabs>
          <w:tab w:val="left" w:pos="993"/>
        </w:tabs>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Територията на общината се разпределя, както следва:</w:t>
      </w:r>
    </w:p>
    <w:p w:rsidR="004616D8" w:rsidRPr="00BE2B92" w:rsidRDefault="004616D8" w:rsidP="00471A06">
      <w:pPr>
        <w:numPr>
          <w:ilvl w:val="0"/>
          <w:numId w:val="2"/>
        </w:numPr>
        <w:tabs>
          <w:tab w:val="left" w:pos="142"/>
          <w:tab w:val="left" w:pos="284"/>
          <w:tab w:val="left" w:pos="993"/>
        </w:tabs>
        <w:spacing w:after="0" w:line="360" w:lineRule="auto"/>
        <w:ind w:left="0" w:firstLine="709"/>
        <w:contextualSpacing/>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Обработваема земя и пасища /общо/ - 239,58 кв.км. – 76,07 %;</w:t>
      </w:r>
    </w:p>
    <w:p w:rsidR="004616D8" w:rsidRPr="00BE2B92" w:rsidRDefault="004616D8" w:rsidP="00471A06">
      <w:pPr>
        <w:numPr>
          <w:ilvl w:val="0"/>
          <w:numId w:val="2"/>
        </w:numPr>
        <w:tabs>
          <w:tab w:val="left" w:pos="142"/>
          <w:tab w:val="left" w:pos="284"/>
          <w:tab w:val="left" w:pos="993"/>
        </w:tabs>
        <w:spacing w:after="0" w:line="360" w:lineRule="auto"/>
        <w:ind w:left="0" w:firstLine="709"/>
        <w:contextualSpacing/>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Гори- 64,15 кв.км- 20,37%</w:t>
      </w:r>
    </w:p>
    <w:p w:rsidR="004616D8" w:rsidRPr="00BE2B92" w:rsidRDefault="004616D8" w:rsidP="00471A06">
      <w:pPr>
        <w:numPr>
          <w:ilvl w:val="0"/>
          <w:numId w:val="2"/>
        </w:numPr>
        <w:tabs>
          <w:tab w:val="left" w:pos="142"/>
          <w:tab w:val="left" w:pos="284"/>
          <w:tab w:val="left" w:pos="993"/>
        </w:tabs>
        <w:spacing w:after="0" w:line="360" w:lineRule="auto"/>
        <w:ind w:left="0" w:firstLine="709"/>
        <w:contextualSpacing/>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Водни площи – 0,15 кв.км- 0,05%;</w:t>
      </w:r>
    </w:p>
    <w:p w:rsidR="004616D8" w:rsidRPr="00BE2B92" w:rsidRDefault="004616D8" w:rsidP="00471A06">
      <w:pPr>
        <w:numPr>
          <w:ilvl w:val="0"/>
          <w:numId w:val="2"/>
        </w:numPr>
        <w:tabs>
          <w:tab w:val="left" w:pos="142"/>
          <w:tab w:val="left" w:pos="284"/>
          <w:tab w:val="left" w:pos="993"/>
        </w:tabs>
        <w:spacing w:after="0" w:line="360" w:lineRule="auto"/>
        <w:ind w:left="0" w:firstLine="709"/>
        <w:contextualSpacing/>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Пътища - 1,08  кв.км</w:t>
      </w:r>
      <w:r w:rsidRPr="00BE2B92">
        <w:rPr>
          <w:rFonts w:ascii="Times New Roman" w:eastAsia="Calibri" w:hAnsi="Times New Roman" w:cs="Times New Roman"/>
          <w:sz w:val="28"/>
          <w:szCs w:val="28"/>
          <w:lang w:val="bg-BG"/>
        </w:rPr>
        <w:tab/>
        <w:t>- 0,34%.</w:t>
      </w:r>
    </w:p>
    <w:p w:rsidR="004616D8" w:rsidRPr="00BE2B92" w:rsidRDefault="004616D8" w:rsidP="00471A06">
      <w:pPr>
        <w:numPr>
          <w:ilvl w:val="0"/>
          <w:numId w:val="2"/>
        </w:numPr>
        <w:tabs>
          <w:tab w:val="left" w:pos="142"/>
          <w:tab w:val="left" w:pos="284"/>
          <w:tab w:val="left" w:pos="993"/>
        </w:tabs>
        <w:spacing w:after="0" w:line="360" w:lineRule="auto"/>
        <w:ind w:left="0" w:firstLine="709"/>
        <w:contextualSpacing/>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Урабанизирани територии – 10 кв.км - 3,17%.</w:t>
      </w:r>
    </w:p>
    <w:p w:rsidR="004616D8" w:rsidRPr="00BE2B92" w:rsidRDefault="004616D8" w:rsidP="00471A06">
      <w:pPr>
        <w:widowControl w:val="0"/>
        <w:tabs>
          <w:tab w:val="left" w:pos="993"/>
        </w:tabs>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Община Кайнарджа се намира в източната част на Дунавската равнина, по спец</w:t>
      </w:r>
      <w:r w:rsidR="00796D90">
        <w:rPr>
          <w:rFonts w:ascii="Times New Roman" w:eastAsia="Calibri" w:hAnsi="Times New Roman" w:cs="Times New Roman"/>
          <w:sz w:val="28"/>
          <w:szCs w:val="28"/>
          <w:lang w:val="bg-BG"/>
        </w:rPr>
        <w:t>иално в Провадийско-Лудогорско-Д</w:t>
      </w:r>
      <w:r w:rsidRPr="00BE2B92">
        <w:rPr>
          <w:rFonts w:ascii="Times New Roman" w:eastAsia="Calibri" w:hAnsi="Times New Roman" w:cs="Times New Roman"/>
          <w:sz w:val="28"/>
          <w:szCs w:val="28"/>
          <w:lang w:val="bg-BG"/>
        </w:rPr>
        <w:t xml:space="preserve">обруджанската платовидна подобласт. Релефът е от типа нискохълмист, представляващ обширна равнина, набраздена от суходолия. Надморското равнище варира от 23 до 226 м. За общинския център - с.Кайнарджа - надморската височина варира между 50 и 120 м. Територията на общината се пресича от няколко “сухоречия” – Канагьол, Табан, Хърсовска река и Суха река, които в миналото са били дъно на реки. Районът около тях се характеризира със стръмни и полегати хълмове. Интересни са участъците край селата Стрелково и Войново от сухоречието на „Хърсовска река”, както и край селата Краново и Голеш от сухоречието на „Суха река”. На тези места са разположени типични каньони. Средната </w:t>
      </w:r>
      <w:r w:rsidRPr="00BE2B92">
        <w:rPr>
          <w:rFonts w:ascii="Times New Roman" w:eastAsia="Calibri" w:hAnsi="Times New Roman" w:cs="Times New Roman"/>
          <w:sz w:val="28"/>
          <w:szCs w:val="28"/>
          <w:lang w:val="bg-BG"/>
        </w:rPr>
        <w:lastRenderedPageBreak/>
        <w:t>надморска височина е 120 м, като най-високата част - край с. Каменци, достига 226 м, а най-ниската /23 м/ е в каньона на „Сухата река” в близост до границата с Румъния.</w:t>
      </w:r>
    </w:p>
    <w:p w:rsidR="004616D8" w:rsidRPr="00BE2B92" w:rsidRDefault="004616D8" w:rsidP="00471A06">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Територията на община Кайнарджа е бедна на полезни изкопаеми. От нерудните полезни изкопаеми интерес представляват варовиците от горната креда. На територията на община Кайнарджа са разработени каменни кариери за добиване на материал за шосейни настилки и строеж на сгради. Сарматските пясъци са предимно ситни и глинести, те нямат високи технически качества и са негодни за строителен материал. Не се експлоатират запаси от рудни полезни изкопаеми.</w:t>
      </w:r>
    </w:p>
    <w:p w:rsidR="004616D8" w:rsidRPr="00BE2B92" w:rsidRDefault="004616D8" w:rsidP="00471A06">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Общината няма находища на полезни изкопаеми: руди, минерали и енергийни ресурси. Основното богатство са обработваемите земеделски земи и пасища, представляващи  76,07 % от територията ѝ. На човек от населението се пада 40,17 дка обработваема земя, при 15.8 дка за област Силистра, което е над средното за страната (6.9 дка/човек). Благоприятното съчетание на плодородни почвени видове, климатични условия и релефни форми са предпоставка за развитие на общината като земеделски район.</w:t>
      </w:r>
    </w:p>
    <w:p w:rsidR="004616D8" w:rsidRDefault="004616D8" w:rsidP="00FB409E">
      <w:pPr>
        <w:widowControl w:val="0"/>
        <w:autoSpaceDE w:val="0"/>
        <w:autoSpaceDN w:val="0"/>
        <w:spacing w:after="0" w:line="360" w:lineRule="auto"/>
        <w:ind w:firstLine="708"/>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На територията на общината се правят проучвания за добив на газ.</w:t>
      </w:r>
    </w:p>
    <w:p w:rsidR="00495377" w:rsidRPr="00BE2B92" w:rsidRDefault="00495377" w:rsidP="00FB409E">
      <w:pPr>
        <w:widowControl w:val="0"/>
        <w:autoSpaceDE w:val="0"/>
        <w:autoSpaceDN w:val="0"/>
        <w:spacing w:after="0" w:line="360" w:lineRule="auto"/>
        <w:ind w:firstLine="708"/>
        <w:jc w:val="both"/>
        <w:rPr>
          <w:rFonts w:ascii="Times New Roman" w:eastAsia="Calibri" w:hAnsi="Times New Roman" w:cs="Times New Roman"/>
          <w:sz w:val="28"/>
          <w:szCs w:val="28"/>
          <w:lang w:val="bg-BG"/>
        </w:rPr>
      </w:pPr>
    </w:p>
    <w:p w:rsidR="004616D8" w:rsidRPr="00642EB5" w:rsidRDefault="00642EB5" w:rsidP="00642EB5">
      <w:pPr>
        <w:widowControl w:val="0"/>
        <w:autoSpaceDE w:val="0"/>
        <w:autoSpaceDN w:val="0"/>
        <w:spacing w:after="0" w:line="360" w:lineRule="auto"/>
        <w:jc w:val="both"/>
        <w:rPr>
          <w:rFonts w:ascii="Times New Roman" w:eastAsia="Calibri" w:hAnsi="Times New Roman" w:cs="Times New Roman"/>
          <w:sz w:val="28"/>
          <w:szCs w:val="28"/>
          <w:lang w:val="bg-BG"/>
        </w:rPr>
      </w:pPr>
      <w:r>
        <w:rPr>
          <w:rFonts w:ascii="Times New Roman" w:eastAsia="Calibri" w:hAnsi="Times New Roman" w:cs="Times New Roman"/>
          <w:b/>
          <w:sz w:val="28"/>
          <w:szCs w:val="28"/>
          <w:lang w:val="bg-BG"/>
        </w:rPr>
        <w:t xml:space="preserve">           </w:t>
      </w:r>
      <w:r w:rsidR="004616D8" w:rsidRPr="00642EB5">
        <w:rPr>
          <w:rFonts w:ascii="Times New Roman" w:eastAsia="Calibri" w:hAnsi="Times New Roman" w:cs="Times New Roman"/>
          <w:b/>
          <w:sz w:val="28"/>
          <w:szCs w:val="28"/>
          <w:lang w:val="bg-BG"/>
        </w:rPr>
        <w:t>Горите</w:t>
      </w:r>
      <w:r w:rsidR="004616D8" w:rsidRPr="00642EB5">
        <w:rPr>
          <w:rFonts w:ascii="Times New Roman" w:eastAsia="Calibri" w:hAnsi="Times New Roman" w:cs="Times New Roman"/>
          <w:sz w:val="28"/>
          <w:szCs w:val="28"/>
          <w:lang w:val="bg-BG"/>
        </w:rPr>
        <w:t xml:space="preserve"> в община Кайнарджа заемат площ от 68098,746 дка , в това число новозасадени площи през 2020 г. – 983,100 дка. Горският фонд в община Кайнарджа се стопанисва от ТП ДГС „Силистра” – гр. Силистра, Държавно лесничейство (ДЛ) - Силистра и Държавна дивечовъдна станция (ДДС) “Каракуз” със седалище гр. Дулово. Горите в района са представени от широколистните видове 97% и 3% иглолистни видове (черен бор).  </w:t>
      </w:r>
      <w:r w:rsidR="004616D8" w:rsidRPr="00642EB5">
        <w:rPr>
          <w:rFonts w:ascii="Times New Roman" w:eastAsia="Calibri" w:hAnsi="Times New Roman" w:cs="Times New Roman"/>
          <w:sz w:val="28"/>
          <w:szCs w:val="28"/>
          <w:lang w:val="bg-BG"/>
        </w:rPr>
        <w:tab/>
      </w:r>
    </w:p>
    <w:p w:rsidR="00471A06" w:rsidRPr="00BE2B92" w:rsidRDefault="004616D8" w:rsidP="00471A06">
      <w:pPr>
        <w:widowControl w:val="0"/>
        <w:autoSpaceDE w:val="0"/>
        <w:autoSpaceDN w:val="0"/>
        <w:spacing w:after="0" w:line="360" w:lineRule="auto"/>
        <w:ind w:firstLine="708"/>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Доминиращите дървесни видове са: цер, бяла акация, келяв габър, сребърна липа, благун, планински и полски ясен, гладилия, червен дъб, бял </w:t>
      </w:r>
      <w:r w:rsidRPr="00BE2B92">
        <w:rPr>
          <w:rFonts w:ascii="Times New Roman" w:eastAsia="Calibri" w:hAnsi="Times New Roman" w:cs="Times New Roman"/>
          <w:sz w:val="28"/>
          <w:szCs w:val="28"/>
          <w:lang w:val="bg-BG"/>
        </w:rPr>
        <w:lastRenderedPageBreak/>
        <w:t>орех, топола. Храстите са представени от глог, дрян, шипка, аморфа, трънка, черен бъз. Основният дървесен вид, който преобладава е церът, образуващ смесен</w:t>
      </w:r>
      <w:r w:rsidR="00471A06" w:rsidRPr="00BE2B92">
        <w:rPr>
          <w:rFonts w:ascii="Times New Roman" w:eastAsia="Calibri" w:hAnsi="Times New Roman" w:cs="Times New Roman"/>
          <w:sz w:val="28"/>
          <w:szCs w:val="28"/>
          <w:lang w:val="bg-BG"/>
        </w:rPr>
        <w:t>и и чисто издънкови насаждения.</w:t>
      </w:r>
    </w:p>
    <w:p w:rsidR="004616D8" w:rsidRPr="00BE2B92" w:rsidRDefault="004616D8" w:rsidP="00471A06">
      <w:pPr>
        <w:widowControl w:val="0"/>
        <w:autoSpaceDE w:val="0"/>
        <w:autoSpaceDN w:val="0"/>
        <w:spacing w:after="0" w:line="360" w:lineRule="auto"/>
        <w:ind w:firstLine="708"/>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По склоновете на суходолията има смесени насаждения от липа, габър, бряст и клен, а в долинните низини топола, акация. Залесената площ в горския фонд на общината е около 95 % от общата площ. Незалесената дървопроизводителна площ е 2,7%, а недървопроизводителната площ е 3,0%.</w:t>
      </w:r>
    </w:p>
    <w:p w:rsidR="004616D8" w:rsidRPr="00BE2B92" w:rsidRDefault="004616D8" w:rsidP="00FB409E">
      <w:pPr>
        <w:widowControl w:val="0"/>
        <w:autoSpaceDE w:val="0"/>
        <w:autoSpaceDN w:val="0"/>
        <w:spacing w:after="0" w:line="360" w:lineRule="auto"/>
        <w:ind w:firstLine="708"/>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Горският фонд, стопанисван от ТП ДГС „Силистра” – гр. Силистра, е със следните показатели за собственост на горските територии (няма отделни данни само за община Кайнарджа, защото данните са от лесоустройствените проекти на ТП ДГС „Силистра” ):</w:t>
      </w:r>
    </w:p>
    <w:p w:rsidR="004616D8" w:rsidRPr="00BE2B92" w:rsidRDefault="004616D8" w:rsidP="004616D8">
      <w:pPr>
        <w:spacing w:after="0" w:line="240" w:lineRule="auto"/>
        <w:jc w:val="both"/>
        <w:rPr>
          <w:rFonts w:ascii="Times New Roman" w:eastAsia="Calibri" w:hAnsi="Times New Roman" w:cs="Times New Roman"/>
          <w:sz w:val="28"/>
          <w:szCs w:val="28"/>
          <w:lang w:val="bg-BG"/>
        </w:rPr>
      </w:pPr>
      <w:r w:rsidRPr="00BE2B92">
        <w:rPr>
          <w:rFonts w:ascii="Calibri" w:eastAsia="Calibri" w:hAnsi="Calibri" w:cs="Times New Roman"/>
          <w:noProof/>
          <w:lang w:val="en-GB" w:eastAsia="en-GB"/>
        </w:rPr>
        <w:drawing>
          <wp:inline distT="0" distB="0" distL="0" distR="0" wp14:anchorId="7C8B970B" wp14:editId="122E7E21">
            <wp:extent cx="5943600" cy="2924175"/>
            <wp:effectExtent l="0" t="0" r="0" b="9525"/>
            <wp:docPr id="3" name="Ди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616D8" w:rsidRPr="00BE2B92" w:rsidRDefault="004616D8" w:rsidP="001536DC">
      <w:pPr>
        <w:widowControl w:val="0"/>
        <w:autoSpaceDE w:val="0"/>
        <w:autoSpaceDN w:val="0"/>
        <w:spacing w:after="0" w:line="360" w:lineRule="auto"/>
        <w:jc w:val="center"/>
        <w:rPr>
          <w:rFonts w:ascii="Times New Roman" w:eastAsia="Calibri" w:hAnsi="Times New Roman" w:cs="Times New Roman"/>
          <w:i/>
          <w:lang w:val="bg-BG"/>
        </w:rPr>
      </w:pPr>
      <w:r w:rsidRPr="00BE2B92">
        <w:rPr>
          <w:rFonts w:ascii="Times New Roman" w:eastAsia="Calibri" w:hAnsi="Times New Roman" w:cs="Times New Roman"/>
          <w:i/>
          <w:lang w:val="bg-BG"/>
        </w:rPr>
        <w:t>Графика № 1 Структурата на собствеността на горските територии в област Силистра</w:t>
      </w:r>
    </w:p>
    <w:p w:rsidR="004616D8" w:rsidRPr="00BE2B92" w:rsidRDefault="004616D8" w:rsidP="00FB409E">
      <w:pPr>
        <w:widowControl w:val="0"/>
        <w:autoSpaceDE w:val="0"/>
        <w:autoSpaceDN w:val="0"/>
        <w:spacing w:after="0" w:line="360" w:lineRule="auto"/>
        <w:ind w:firstLine="708"/>
        <w:rPr>
          <w:rFonts w:ascii="Times New Roman" w:eastAsia="Calibri" w:hAnsi="Times New Roman" w:cs="Times New Roman"/>
          <w:lang w:val="bg-BG"/>
        </w:rPr>
      </w:pPr>
    </w:p>
    <w:p w:rsidR="004616D8" w:rsidRPr="00BE2B92" w:rsidRDefault="004616D8" w:rsidP="005C42AE">
      <w:pPr>
        <w:widowControl w:val="0"/>
        <w:autoSpaceDE w:val="0"/>
        <w:autoSpaceDN w:val="0"/>
        <w:spacing w:after="0" w:line="360" w:lineRule="auto"/>
        <w:ind w:firstLine="708"/>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В ДДС “Каракуз” наред с лесоустройствените дейности, основни дейности са и запазване и обогатяване на видовото разнообразие на дивеча. Характерни за района са следните видове дивеч-благороден елен, сърна, дива свиня, заек, лисица, яребица, фазан, пъдпъдък, гургулица, гривяк, зеленоглава патица, чакал. В малките водоеми обитателите са предимно шаран и карас. </w:t>
      </w:r>
      <w:r w:rsidRPr="00BE2B92">
        <w:rPr>
          <w:rFonts w:ascii="Times New Roman" w:eastAsia="Calibri" w:hAnsi="Times New Roman" w:cs="Times New Roman"/>
          <w:sz w:val="28"/>
          <w:szCs w:val="28"/>
          <w:lang w:val="bg-BG"/>
        </w:rPr>
        <w:lastRenderedPageBreak/>
        <w:t>Ловната площ на цялото стопанство (в т.ч. и Община Кайнарджа) възлиза на 112649,4 ха, от които 20292,9 ха са в горски територии и 92356,5 ха – в земеделския фонд. Площта е разпределена между 34 ловни дружини. Ловната дейност е предоставена на ловните сдружения, ЛРД „Сокол-1”- гр. Силистра и ЛРД „Дулово” – гр. Дулово.</w:t>
      </w:r>
    </w:p>
    <w:p w:rsidR="004616D8" w:rsidRPr="00BE2B92" w:rsidRDefault="004616D8" w:rsidP="005C42AE">
      <w:pPr>
        <w:spacing w:after="0" w:line="360" w:lineRule="auto"/>
        <w:ind w:firstLine="708"/>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В общината има създадени защитни пояси от акация, махалебка, гледичия, зарзали, габър и др. видове. По настоящем те са стопанисвани от държавата и са в лошо състояние: силно проредени, ограничени хоризонтално и вертикално. Създаването на нови горски масиви, отглеждането и дърводобива са традиционно планирани чрез лесоустройствени планове и в това направление не е необходима особена намеса от страна на общината. Община Кайнарджа има горски територии, възстановени по ЗСПЗЗ, на същите е изготвен ЛУП 2011-2021 (Лесоустройствен проект) и одобрен ГСП (Горско стопански план).</w:t>
      </w:r>
    </w:p>
    <w:p w:rsidR="004616D8" w:rsidRPr="00BE2B92" w:rsidRDefault="004616D8" w:rsidP="005C42AE">
      <w:pPr>
        <w:spacing w:after="0" w:line="360" w:lineRule="auto"/>
        <w:ind w:firstLine="708"/>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През 2014 година са залесени 525 дка нови гори  по проекти, финансирани от ПРСР за периода 2007-2013 г. </w:t>
      </w:r>
    </w:p>
    <w:p w:rsidR="00471A06" w:rsidRPr="00BE2B92" w:rsidRDefault="00B87369" w:rsidP="005C42AE">
      <w:pPr>
        <w:pStyle w:val="10"/>
        <w:spacing w:before="0" w:line="360" w:lineRule="auto"/>
        <w:ind w:firstLine="720"/>
        <w:jc w:val="both"/>
        <w:rPr>
          <w:rFonts w:ascii="Times New Roman" w:hAnsi="Times New Roman" w:cs="Times New Roman"/>
          <w:b/>
          <w:color w:val="auto"/>
          <w:sz w:val="28"/>
          <w:szCs w:val="28"/>
          <w:lang w:val="bg-BG"/>
        </w:rPr>
      </w:pPr>
      <w:bookmarkStart w:id="9" w:name="_Toc96591465"/>
      <w:bookmarkStart w:id="10" w:name="_Toc96591545"/>
      <w:bookmarkStart w:id="11" w:name="_Toc96612803"/>
      <w:bookmarkStart w:id="12" w:name="_Toc96613012"/>
      <w:bookmarkStart w:id="13" w:name="_Toc96613145"/>
      <w:bookmarkStart w:id="14" w:name="_Toc96613176"/>
      <w:r>
        <w:rPr>
          <w:rFonts w:ascii="Times New Roman" w:hAnsi="Times New Roman" w:cs="Times New Roman"/>
          <w:b/>
          <w:color w:val="auto"/>
          <w:sz w:val="28"/>
          <w:szCs w:val="28"/>
          <w:lang w:val="bg-BG"/>
        </w:rPr>
        <w:t>Много от залесените през изминалите десет</w:t>
      </w:r>
      <w:r w:rsidR="00495377">
        <w:rPr>
          <w:rFonts w:ascii="Times New Roman" w:hAnsi="Times New Roman" w:cs="Times New Roman"/>
          <w:b/>
          <w:color w:val="auto"/>
          <w:sz w:val="28"/>
          <w:szCs w:val="28"/>
          <w:lang w:val="bg-BG"/>
        </w:rPr>
        <w:t>-петнадесет</w:t>
      </w:r>
      <w:r>
        <w:rPr>
          <w:rFonts w:ascii="Times New Roman" w:hAnsi="Times New Roman" w:cs="Times New Roman"/>
          <w:b/>
          <w:color w:val="auto"/>
          <w:sz w:val="28"/>
          <w:szCs w:val="28"/>
          <w:lang w:val="bg-BG"/>
        </w:rPr>
        <w:t xml:space="preserve"> години трайни нас</w:t>
      </w:r>
      <w:r w:rsidR="00495377">
        <w:rPr>
          <w:rFonts w:ascii="Times New Roman" w:hAnsi="Times New Roman" w:cs="Times New Roman"/>
          <w:b/>
          <w:color w:val="auto"/>
          <w:sz w:val="28"/>
          <w:szCs w:val="28"/>
          <w:lang w:val="bg-BG"/>
        </w:rPr>
        <w:t>а</w:t>
      </w:r>
      <w:r>
        <w:rPr>
          <w:rFonts w:ascii="Times New Roman" w:hAnsi="Times New Roman" w:cs="Times New Roman"/>
          <w:b/>
          <w:color w:val="auto"/>
          <w:sz w:val="28"/>
          <w:szCs w:val="28"/>
          <w:lang w:val="bg-BG"/>
        </w:rPr>
        <w:t>ждения</w:t>
      </w:r>
      <w:r w:rsidR="00495377">
        <w:rPr>
          <w:rFonts w:ascii="Times New Roman" w:hAnsi="Times New Roman" w:cs="Times New Roman"/>
          <w:b/>
          <w:color w:val="auto"/>
          <w:sz w:val="28"/>
          <w:szCs w:val="28"/>
          <w:lang w:val="bg-BG"/>
        </w:rPr>
        <w:t xml:space="preserve"> - при подрязването и ежегодното поддържане на дръвчетата биха били добър източник на ресурс за получаване на еко</w:t>
      </w:r>
      <w:r w:rsidR="009B54A0">
        <w:rPr>
          <w:rFonts w:ascii="Times New Roman" w:hAnsi="Times New Roman" w:cs="Times New Roman"/>
          <w:b/>
          <w:color w:val="auto"/>
          <w:sz w:val="28"/>
          <w:szCs w:val="28"/>
          <w:lang w:val="bg-BG"/>
        </w:rPr>
        <w:t>пелети или дървесина за получаване на топлинна енергия.</w:t>
      </w:r>
      <w:bookmarkEnd w:id="9"/>
      <w:bookmarkEnd w:id="10"/>
      <w:bookmarkEnd w:id="11"/>
      <w:bookmarkEnd w:id="12"/>
      <w:bookmarkEnd w:id="13"/>
      <w:bookmarkEnd w:id="14"/>
    </w:p>
    <w:p w:rsidR="005D0C17" w:rsidRPr="00BE2B92" w:rsidRDefault="009B54A0" w:rsidP="005C42AE">
      <w:pPr>
        <w:pStyle w:val="10"/>
        <w:spacing w:before="0" w:line="360" w:lineRule="auto"/>
        <w:ind w:firstLine="720"/>
        <w:jc w:val="both"/>
        <w:rPr>
          <w:rFonts w:ascii="Times New Roman" w:hAnsi="Times New Roman" w:cs="Times New Roman"/>
          <w:b/>
          <w:color w:val="auto"/>
          <w:sz w:val="28"/>
          <w:szCs w:val="28"/>
          <w:lang w:val="bg-BG"/>
        </w:rPr>
      </w:pPr>
      <w:bookmarkStart w:id="15" w:name="_Toc96613177"/>
      <w:r>
        <w:rPr>
          <w:rFonts w:ascii="Times New Roman" w:hAnsi="Times New Roman" w:cs="Times New Roman"/>
          <w:b/>
          <w:color w:val="auto"/>
          <w:sz w:val="28"/>
          <w:szCs w:val="28"/>
          <w:lang w:val="bg-BG"/>
        </w:rPr>
        <w:t xml:space="preserve">5.3. </w:t>
      </w:r>
      <w:r w:rsidR="005D0C17" w:rsidRPr="00BE2B92">
        <w:rPr>
          <w:rFonts w:ascii="Times New Roman" w:hAnsi="Times New Roman" w:cs="Times New Roman"/>
          <w:b/>
          <w:color w:val="auto"/>
          <w:sz w:val="28"/>
          <w:szCs w:val="28"/>
          <w:lang w:val="bg-BG"/>
        </w:rPr>
        <w:t xml:space="preserve"> Сграден фонд</w:t>
      </w:r>
      <w:bookmarkEnd w:id="15"/>
      <w:r w:rsidR="005D0C17" w:rsidRPr="00BE2B92">
        <w:rPr>
          <w:rFonts w:ascii="Times New Roman" w:hAnsi="Times New Roman" w:cs="Times New Roman"/>
          <w:b/>
          <w:color w:val="auto"/>
          <w:sz w:val="28"/>
          <w:szCs w:val="28"/>
          <w:lang w:val="bg-BG"/>
        </w:rPr>
        <w:t xml:space="preserve"> </w:t>
      </w:r>
    </w:p>
    <w:p w:rsidR="005C42AE" w:rsidRPr="005C42AE" w:rsidRDefault="005C42AE" w:rsidP="005C42AE">
      <w:pPr>
        <w:widowControl w:val="0"/>
        <w:autoSpaceDE w:val="0"/>
        <w:autoSpaceDN w:val="0"/>
        <w:spacing w:after="0" w:line="360" w:lineRule="auto"/>
        <w:ind w:firstLine="720"/>
        <w:jc w:val="both"/>
        <w:rPr>
          <w:rFonts w:ascii="Times New Roman" w:eastAsia="Calibri" w:hAnsi="Times New Roman" w:cs="Times New Roman"/>
          <w:sz w:val="28"/>
          <w:szCs w:val="28"/>
          <w:lang w:val="bg-BG" w:eastAsia="bg-BG"/>
        </w:rPr>
      </w:pPr>
      <w:r w:rsidRPr="005C42AE">
        <w:rPr>
          <w:rFonts w:ascii="Times New Roman" w:eastAsia="Calibri" w:hAnsi="Times New Roman" w:cs="Times New Roman"/>
          <w:bCs/>
          <w:sz w:val="28"/>
          <w:szCs w:val="28"/>
          <w:lang w:val="bg-BG"/>
        </w:rPr>
        <w:t>От публичните сгради преобладават тези, които са общинска собственост. Държавни почти няма.</w:t>
      </w:r>
      <w:r w:rsidRPr="005C42AE">
        <w:rPr>
          <w:rFonts w:ascii="Times New Roman" w:eastAsia="Calibri" w:hAnsi="Times New Roman" w:cs="Times New Roman"/>
          <w:sz w:val="28"/>
          <w:szCs w:val="28"/>
          <w:lang w:val="bg-BG" w:eastAsia="bg-BG"/>
        </w:rPr>
        <w:t xml:space="preserve"> От представените данни на община Кайнарджа установяваме, че на територията на общината се намират над 30 сгради, от които с разгърната застроена площ (РЗП) над 250 м2 са общо 29 бр. сгради, като  9 бр. от тях са с РЗП над 1000 м2.</w:t>
      </w:r>
    </w:p>
    <w:p w:rsidR="005C42AE" w:rsidRPr="005C42AE" w:rsidRDefault="005C42AE" w:rsidP="005C42AE">
      <w:pPr>
        <w:widowControl w:val="0"/>
        <w:autoSpaceDE w:val="0"/>
        <w:autoSpaceDN w:val="0"/>
        <w:spacing w:after="0" w:line="240" w:lineRule="auto"/>
        <w:rPr>
          <w:rFonts w:ascii="Times New Roman" w:eastAsia="Calibri" w:hAnsi="Times New Roman" w:cs="Times New Roman"/>
          <w:sz w:val="28"/>
          <w:szCs w:val="28"/>
          <w:lang w:val="bg-BG" w:eastAsia="bg-BG"/>
        </w:rPr>
      </w:pPr>
    </w:p>
    <w:tbl>
      <w:tblPr>
        <w:tblStyle w:val="af0"/>
        <w:tblW w:w="0" w:type="auto"/>
        <w:tblLook w:val="04A0" w:firstRow="1" w:lastRow="0" w:firstColumn="1" w:lastColumn="0" w:noHBand="0" w:noVBand="1"/>
      </w:tblPr>
      <w:tblGrid>
        <w:gridCol w:w="1645"/>
        <w:gridCol w:w="3953"/>
        <w:gridCol w:w="4024"/>
      </w:tblGrid>
      <w:tr w:rsidR="005C42AE" w:rsidRPr="00B93882" w:rsidTr="00C774BF">
        <w:trPr>
          <w:trHeight w:val="418"/>
        </w:trPr>
        <w:tc>
          <w:tcPr>
            <w:tcW w:w="0" w:type="auto"/>
            <w:hideMark/>
          </w:tcPr>
          <w:p w:rsidR="005C42AE" w:rsidRPr="005C42AE" w:rsidRDefault="005C42AE" w:rsidP="00165218">
            <w:pPr>
              <w:autoSpaceDE w:val="0"/>
              <w:autoSpaceDN w:val="0"/>
              <w:adjustRightInd w:val="0"/>
              <w:jc w:val="both"/>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lastRenderedPageBreak/>
              <w:t>Населено място</w:t>
            </w:r>
          </w:p>
        </w:tc>
        <w:tc>
          <w:tcPr>
            <w:tcW w:w="0" w:type="auto"/>
            <w:hideMark/>
          </w:tcPr>
          <w:p w:rsidR="005C42AE" w:rsidRPr="005C42AE" w:rsidRDefault="005C42AE" w:rsidP="00165218">
            <w:pPr>
              <w:autoSpaceDE w:val="0"/>
              <w:autoSpaceDN w:val="0"/>
              <w:adjustRightInd w:val="0"/>
              <w:jc w:val="center"/>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t>Брой сгради общинска собственост с РЗП над 250 м2</w:t>
            </w:r>
          </w:p>
        </w:tc>
        <w:tc>
          <w:tcPr>
            <w:tcW w:w="0" w:type="auto"/>
            <w:hideMark/>
          </w:tcPr>
          <w:p w:rsidR="005C42AE" w:rsidRPr="005C42AE" w:rsidRDefault="005C42AE" w:rsidP="00165218">
            <w:pPr>
              <w:autoSpaceDE w:val="0"/>
              <w:autoSpaceDN w:val="0"/>
              <w:adjustRightInd w:val="0"/>
              <w:jc w:val="center"/>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t>Брой сгради общинска собственост с РЗП над 1000 м2</w:t>
            </w:r>
          </w:p>
        </w:tc>
      </w:tr>
      <w:tr w:rsidR="005C42AE" w:rsidRPr="005C42AE" w:rsidTr="00C774BF">
        <w:trPr>
          <w:trHeight w:val="142"/>
        </w:trPr>
        <w:tc>
          <w:tcPr>
            <w:tcW w:w="0" w:type="auto"/>
            <w:noWrap/>
            <w:hideMark/>
          </w:tcPr>
          <w:p w:rsidR="005C42AE" w:rsidRPr="005C42AE" w:rsidRDefault="005C42AE" w:rsidP="00165218">
            <w:pPr>
              <w:autoSpaceDE w:val="0"/>
              <w:autoSpaceDN w:val="0"/>
              <w:adjustRightInd w:val="0"/>
              <w:jc w:val="both"/>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t>Войново</w:t>
            </w:r>
          </w:p>
        </w:tc>
        <w:tc>
          <w:tcPr>
            <w:tcW w:w="0" w:type="auto"/>
            <w:noWrap/>
            <w:hideMark/>
          </w:tcPr>
          <w:p w:rsidR="005C42AE" w:rsidRPr="005C42AE" w:rsidRDefault="005C42AE" w:rsidP="00165218">
            <w:pPr>
              <w:autoSpaceDE w:val="0"/>
              <w:autoSpaceDN w:val="0"/>
              <w:adjustRightInd w:val="0"/>
              <w:spacing w:after="120"/>
              <w:jc w:val="center"/>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t>1</w:t>
            </w:r>
          </w:p>
        </w:tc>
        <w:tc>
          <w:tcPr>
            <w:tcW w:w="0" w:type="auto"/>
            <w:noWrap/>
            <w:hideMark/>
          </w:tcPr>
          <w:p w:rsidR="005C42AE" w:rsidRPr="005C42AE" w:rsidRDefault="005C42AE" w:rsidP="00165218">
            <w:pPr>
              <w:autoSpaceDE w:val="0"/>
              <w:autoSpaceDN w:val="0"/>
              <w:adjustRightInd w:val="0"/>
              <w:spacing w:after="120"/>
              <w:jc w:val="center"/>
              <w:rPr>
                <w:rFonts w:ascii="Times New Roman" w:eastAsia="Times New Roman" w:hAnsi="Times New Roman" w:cs="Times New Roman"/>
                <w:sz w:val="24"/>
                <w:szCs w:val="24"/>
                <w:lang w:eastAsia="bg-BG"/>
              </w:rPr>
            </w:pPr>
          </w:p>
        </w:tc>
      </w:tr>
      <w:tr w:rsidR="005C42AE" w:rsidRPr="005C42AE" w:rsidTr="00C774BF">
        <w:trPr>
          <w:trHeight w:val="70"/>
        </w:trPr>
        <w:tc>
          <w:tcPr>
            <w:tcW w:w="0" w:type="auto"/>
            <w:noWrap/>
          </w:tcPr>
          <w:p w:rsidR="005C42AE" w:rsidRPr="005C42AE" w:rsidRDefault="005C42AE" w:rsidP="00165218">
            <w:pPr>
              <w:autoSpaceDE w:val="0"/>
              <w:autoSpaceDN w:val="0"/>
              <w:adjustRightInd w:val="0"/>
              <w:jc w:val="both"/>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t>Голеш</w:t>
            </w:r>
          </w:p>
        </w:tc>
        <w:tc>
          <w:tcPr>
            <w:tcW w:w="0" w:type="auto"/>
            <w:noWrap/>
            <w:hideMark/>
          </w:tcPr>
          <w:p w:rsidR="005C42AE" w:rsidRPr="005C42AE" w:rsidRDefault="005C42AE" w:rsidP="00165218">
            <w:pPr>
              <w:autoSpaceDE w:val="0"/>
              <w:autoSpaceDN w:val="0"/>
              <w:adjustRightInd w:val="0"/>
              <w:spacing w:after="120"/>
              <w:jc w:val="center"/>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t>5</w:t>
            </w:r>
          </w:p>
        </w:tc>
        <w:tc>
          <w:tcPr>
            <w:tcW w:w="0" w:type="auto"/>
            <w:noWrap/>
            <w:hideMark/>
          </w:tcPr>
          <w:p w:rsidR="005C42AE" w:rsidRPr="005C42AE" w:rsidRDefault="005C42AE" w:rsidP="00165218">
            <w:pPr>
              <w:autoSpaceDE w:val="0"/>
              <w:autoSpaceDN w:val="0"/>
              <w:adjustRightInd w:val="0"/>
              <w:spacing w:after="120"/>
              <w:jc w:val="center"/>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t>1</w:t>
            </w:r>
          </w:p>
        </w:tc>
      </w:tr>
      <w:tr w:rsidR="005C42AE" w:rsidRPr="005C42AE" w:rsidTr="00C774BF">
        <w:trPr>
          <w:trHeight w:val="255"/>
        </w:trPr>
        <w:tc>
          <w:tcPr>
            <w:tcW w:w="0" w:type="auto"/>
            <w:noWrap/>
          </w:tcPr>
          <w:p w:rsidR="005C42AE" w:rsidRPr="005C42AE" w:rsidRDefault="005C42AE" w:rsidP="00165218">
            <w:pPr>
              <w:autoSpaceDE w:val="0"/>
              <w:autoSpaceDN w:val="0"/>
              <w:adjustRightInd w:val="0"/>
              <w:jc w:val="both"/>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t>Кайнарджа</w:t>
            </w:r>
          </w:p>
        </w:tc>
        <w:tc>
          <w:tcPr>
            <w:tcW w:w="0" w:type="auto"/>
            <w:noWrap/>
          </w:tcPr>
          <w:p w:rsidR="005C42AE" w:rsidRPr="005C42AE" w:rsidRDefault="005C42AE" w:rsidP="00165218">
            <w:pPr>
              <w:autoSpaceDE w:val="0"/>
              <w:autoSpaceDN w:val="0"/>
              <w:adjustRightInd w:val="0"/>
              <w:spacing w:after="120"/>
              <w:jc w:val="center"/>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t>7</w:t>
            </w:r>
          </w:p>
        </w:tc>
        <w:tc>
          <w:tcPr>
            <w:tcW w:w="0" w:type="auto"/>
            <w:noWrap/>
          </w:tcPr>
          <w:p w:rsidR="005C42AE" w:rsidRPr="005C42AE" w:rsidRDefault="005C42AE" w:rsidP="00165218">
            <w:pPr>
              <w:autoSpaceDE w:val="0"/>
              <w:autoSpaceDN w:val="0"/>
              <w:adjustRightInd w:val="0"/>
              <w:spacing w:after="120"/>
              <w:jc w:val="center"/>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t>4</w:t>
            </w:r>
          </w:p>
        </w:tc>
      </w:tr>
      <w:tr w:rsidR="005C42AE" w:rsidRPr="00BE2B92" w:rsidTr="00C774BF">
        <w:trPr>
          <w:trHeight w:val="255"/>
        </w:trPr>
        <w:tc>
          <w:tcPr>
            <w:tcW w:w="0" w:type="auto"/>
            <w:noWrap/>
          </w:tcPr>
          <w:p w:rsidR="005C42AE" w:rsidRPr="005C42AE" w:rsidRDefault="005C42AE" w:rsidP="00165218">
            <w:pPr>
              <w:autoSpaceDE w:val="0"/>
              <w:autoSpaceDN w:val="0"/>
              <w:adjustRightInd w:val="0"/>
              <w:jc w:val="both"/>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t>Краново</w:t>
            </w:r>
          </w:p>
        </w:tc>
        <w:tc>
          <w:tcPr>
            <w:tcW w:w="0" w:type="auto"/>
            <w:noWrap/>
          </w:tcPr>
          <w:p w:rsidR="005C42AE" w:rsidRPr="005C42AE" w:rsidRDefault="005C42AE" w:rsidP="00165218">
            <w:pPr>
              <w:autoSpaceDE w:val="0"/>
              <w:autoSpaceDN w:val="0"/>
              <w:adjustRightInd w:val="0"/>
              <w:spacing w:after="120"/>
              <w:jc w:val="center"/>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t>1</w:t>
            </w:r>
          </w:p>
        </w:tc>
        <w:tc>
          <w:tcPr>
            <w:tcW w:w="0" w:type="auto"/>
            <w:noWrap/>
          </w:tcPr>
          <w:p w:rsidR="005C42AE" w:rsidRPr="005C42AE" w:rsidRDefault="005C42AE" w:rsidP="00165218">
            <w:pPr>
              <w:autoSpaceDE w:val="0"/>
              <w:autoSpaceDN w:val="0"/>
              <w:adjustRightInd w:val="0"/>
              <w:spacing w:after="120"/>
              <w:jc w:val="center"/>
              <w:rPr>
                <w:rFonts w:ascii="Times New Roman" w:eastAsia="Times New Roman" w:hAnsi="Times New Roman" w:cs="Times New Roman"/>
                <w:sz w:val="24"/>
                <w:szCs w:val="24"/>
                <w:lang w:eastAsia="bg-BG"/>
              </w:rPr>
            </w:pPr>
          </w:p>
        </w:tc>
      </w:tr>
      <w:tr w:rsidR="005C42AE" w:rsidRPr="00BE2B92" w:rsidTr="00C774BF">
        <w:trPr>
          <w:trHeight w:val="255"/>
        </w:trPr>
        <w:tc>
          <w:tcPr>
            <w:tcW w:w="0" w:type="auto"/>
            <w:noWrap/>
          </w:tcPr>
          <w:p w:rsidR="005C42AE" w:rsidRPr="005C42AE" w:rsidRDefault="005C42AE" w:rsidP="00165218">
            <w:pPr>
              <w:autoSpaceDE w:val="0"/>
              <w:autoSpaceDN w:val="0"/>
              <w:adjustRightInd w:val="0"/>
              <w:jc w:val="both"/>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t>Светослав</w:t>
            </w:r>
          </w:p>
        </w:tc>
        <w:tc>
          <w:tcPr>
            <w:tcW w:w="0" w:type="auto"/>
            <w:noWrap/>
          </w:tcPr>
          <w:p w:rsidR="005C42AE" w:rsidRPr="005C42AE" w:rsidRDefault="005C42AE" w:rsidP="00165218">
            <w:pPr>
              <w:autoSpaceDE w:val="0"/>
              <w:autoSpaceDN w:val="0"/>
              <w:adjustRightInd w:val="0"/>
              <w:spacing w:after="120"/>
              <w:jc w:val="center"/>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t>1</w:t>
            </w:r>
          </w:p>
        </w:tc>
        <w:tc>
          <w:tcPr>
            <w:tcW w:w="0" w:type="auto"/>
            <w:noWrap/>
          </w:tcPr>
          <w:p w:rsidR="005C42AE" w:rsidRPr="005C42AE" w:rsidRDefault="005C42AE" w:rsidP="00165218">
            <w:pPr>
              <w:autoSpaceDE w:val="0"/>
              <w:autoSpaceDN w:val="0"/>
              <w:adjustRightInd w:val="0"/>
              <w:spacing w:after="120"/>
              <w:jc w:val="center"/>
              <w:rPr>
                <w:rFonts w:ascii="Times New Roman" w:eastAsia="Times New Roman" w:hAnsi="Times New Roman" w:cs="Times New Roman"/>
                <w:sz w:val="24"/>
                <w:szCs w:val="24"/>
                <w:lang w:eastAsia="bg-BG"/>
              </w:rPr>
            </w:pPr>
          </w:p>
        </w:tc>
      </w:tr>
      <w:tr w:rsidR="005C42AE" w:rsidRPr="00BE2B92" w:rsidTr="00C774BF">
        <w:trPr>
          <w:trHeight w:val="255"/>
        </w:trPr>
        <w:tc>
          <w:tcPr>
            <w:tcW w:w="0" w:type="auto"/>
            <w:noWrap/>
          </w:tcPr>
          <w:p w:rsidR="005C42AE" w:rsidRPr="005C42AE" w:rsidRDefault="005C42AE" w:rsidP="00165218">
            <w:pPr>
              <w:autoSpaceDE w:val="0"/>
              <w:autoSpaceDN w:val="0"/>
              <w:adjustRightInd w:val="0"/>
              <w:jc w:val="both"/>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t>Средище</w:t>
            </w:r>
          </w:p>
        </w:tc>
        <w:tc>
          <w:tcPr>
            <w:tcW w:w="0" w:type="auto"/>
            <w:noWrap/>
          </w:tcPr>
          <w:p w:rsidR="005C42AE" w:rsidRPr="005C42AE" w:rsidRDefault="005C42AE" w:rsidP="00165218">
            <w:pPr>
              <w:autoSpaceDE w:val="0"/>
              <w:autoSpaceDN w:val="0"/>
              <w:adjustRightInd w:val="0"/>
              <w:spacing w:after="120"/>
              <w:jc w:val="center"/>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t>5</w:t>
            </w:r>
          </w:p>
        </w:tc>
        <w:tc>
          <w:tcPr>
            <w:tcW w:w="0" w:type="auto"/>
            <w:noWrap/>
          </w:tcPr>
          <w:p w:rsidR="005C42AE" w:rsidRPr="005C42AE" w:rsidRDefault="005C42AE" w:rsidP="00165218">
            <w:pPr>
              <w:autoSpaceDE w:val="0"/>
              <w:autoSpaceDN w:val="0"/>
              <w:adjustRightInd w:val="0"/>
              <w:spacing w:after="120"/>
              <w:jc w:val="center"/>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t>4</w:t>
            </w:r>
          </w:p>
        </w:tc>
      </w:tr>
      <w:tr w:rsidR="005C42AE" w:rsidRPr="00BE2B92" w:rsidTr="00C774BF">
        <w:trPr>
          <w:trHeight w:val="255"/>
        </w:trPr>
        <w:tc>
          <w:tcPr>
            <w:tcW w:w="0" w:type="auto"/>
            <w:noWrap/>
          </w:tcPr>
          <w:p w:rsidR="005C42AE" w:rsidRPr="005C42AE" w:rsidRDefault="005C42AE" w:rsidP="00165218">
            <w:pPr>
              <w:autoSpaceDE w:val="0"/>
              <w:autoSpaceDN w:val="0"/>
              <w:adjustRightInd w:val="0"/>
              <w:jc w:val="both"/>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t>Зарник</w:t>
            </w:r>
          </w:p>
        </w:tc>
        <w:tc>
          <w:tcPr>
            <w:tcW w:w="0" w:type="auto"/>
            <w:noWrap/>
          </w:tcPr>
          <w:p w:rsidR="005C42AE" w:rsidRPr="005C42AE" w:rsidRDefault="005C42AE" w:rsidP="00165218">
            <w:pPr>
              <w:autoSpaceDE w:val="0"/>
              <w:autoSpaceDN w:val="0"/>
              <w:adjustRightInd w:val="0"/>
              <w:spacing w:after="120"/>
              <w:jc w:val="center"/>
              <w:rPr>
                <w:rFonts w:ascii="Times New Roman" w:eastAsia="Times New Roman" w:hAnsi="Times New Roman" w:cs="Times New Roman"/>
                <w:sz w:val="24"/>
                <w:szCs w:val="24"/>
                <w:lang w:eastAsia="bg-BG"/>
              </w:rPr>
            </w:pPr>
            <w:r w:rsidRPr="005C42AE">
              <w:rPr>
                <w:rFonts w:ascii="Times New Roman" w:eastAsia="Times New Roman" w:hAnsi="Times New Roman" w:cs="Times New Roman"/>
                <w:sz w:val="24"/>
                <w:szCs w:val="24"/>
                <w:lang w:eastAsia="bg-BG"/>
              </w:rPr>
              <w:t>1</w:t>
            </w:r>
          </w:p>
        </w:tc>
        <w:tc>
          <w:tcPr>
            <w:tcW w:w="0" w:type="auto"/>
            <w:noWrap/>
          </w:tcPr>
          <w:p w:rsidR="005C42AE" w:rsidRPr="005C42AE" w:rsidRDefault="005C42AE" w:rsidP="00165218">
            <w:pPr>
              <w:autoSpaceDE w:val="0"/>
              <w:autoSpaceDN w:val="0"/>
              <w:adjustRightInd w:val="0"/>
              <w:spacing w:after="120"/>
              <w:jc w:val="center"/>
              <w:rPr>
                <w:rFonts w:ascii="Times New Roman" w:eastAsia="Times New Roman" w:hAnsi="Times New Roman" w:cs="Times New Roman"/>
                <w:sz w:val="24"/>
                <w:szCs w:val="24"/>
                <w:lang w:eastAsia="bg-BG"/>
              </w:rPr>
            </w:pPr>
          </w:p>
        </w:tc>
      </w:tr>
      <w:tr w:rsidR="005C42AE" w:rsidRPr="00BE2B92" w:rsidTr="00C774BF">
        <w:trPr>
          <w:trHeight w:val="255"/>
        </w:trPr>
        <w:tc>
          <w:tcPr>
            <w:tcW w:w="0" w:type="auto"/>
            <w:noWrap/>
          </w:tcPr>
          <w:p w:rsidR="005C42AE" w:rsidRPr="005C42AE" w:rsidRDefault="005C42AE" w:rsidP="00165218">
            <w:pPr>
              <w:autoSpaceDE w:val="0"/>
              <w:autoSpaceDN w:val="0"/>
              <w:adjustRightInd w:val="0"/>
              <w:jc w:val="both"/>
              <w:rPr>
                <w:rFonts w:ascii="Times New Roman" w:eastAsia="Times New Roman" w:hAnsi="Times New Roman" w:cs="Times New Roman"/>
                <w:b/>
                <w:sz w:val="24"/>
                <w:szCs w:val="24"/>
                <w:lang w:eastAsia="bg-BG"/>
              </w:rPr>
            </w:pPr>
            <w:r w:rsidRPr="005C42AE">
              <w:rPr>
                <w:rFonts w:ascii="Times New Roman" w:eastAsia="Times New Roman" w:hAnsi="Times New Roman" w:cs="Times New Roman"/>
                <w:b/>
                <w:sz w:val="24"/>
                <w:szCs w:val="24"/>
                <w:lang w:eastAsia="bg-BG"/>
              </w:rPr>
              <w:t>ОБЩО</w:t>
            </w:r>
          </w:p>
        </w:tc>
        <w:tc>
          <w:tcPr>
            <w:tcW w:w="0" w:type="auto"/>
            <w:noWrap/>
          </w:tcPr>
          <w:p w:rsidR="005C42AE" w:rsidRPr="005C42AE" w:rsidRDefault="005C42AE" w:rsidP="00165218">
            <w:pPr>
              <w:autoSpaceDE w:val="0"/>
              <w:autoSpaceDN w:val="0"/>
              <w:adjustRightInd w:val="0"/>
              <w:spacing w:after="120"/>
              <w:jc w:val="center"/>
              <w:rPr>
                <w:rFonts w:ascii="Times New Roman" w:eastAsia="Times New Roman" w:hAnsi="Times New Roman" w:cs="Times New Roman"/>
                <w:b/>
                <w:sz w:val="24"/>
                <w:szCs w:val="24"/>
                <w:lang w:eastAsia="bg-BG"/>
              </w:rPr>
            </w:pPr>
            <w:r w:rsidRPr="005C42AE">
              <w:rPr>
                <w:rFonts w:ascii="Times New Roman" w:eastAsia="Times New Roman" w:hAnsi="Times New Roman" w:cs="Times New Roman"/>
                <w:b/>
                <w:sz w:val="24"/>
                <w:szCs w:val="24"/>
                <w:lang w:eastAsia="bg-BG"/>
              </w:rPr>
              <w:t>20 броя</w:t>
            </w:r>
          </w:p>
        </w:tc>
        <w:tc>
          <w:tcPr>
            <w:tcW w:w="0" w:type="auto"/>
            <w:noWrap/>
          </w:tcPr>
          <w:p w:rsidR="005C42AE" w:rsidRPr="005C42AE" w:rsidRDefault="005C42AE" w:rsidP="00165218">
            <w:pPr>
              <w:autoSpaceDE w:val="0"/>
              <w:autoSpaceDN w:val="0"/>
              <w:adjustRightInd w:val="0"/>
              <w:spacing w:after="120"/>
              <w:jc w:val="center"/>
              <w:rPr>
                <w:rFonts w:ascii="Times New Roman" w:eastAsia="Times New Roman" w:hAnsi="Times New Roman" w:cs="Times New Roman"/>
                <w:b/>
                <w:sz w:val="24"/>
                <w:szCs w:val="24"/>
                <w:lang w:eastAsia="bg-BG"/>
              </w:rPr>
            </w:pPr>
            <w:r w:rsidRPr="005C42AE">
              <w:rPr>
                <w:rFonts w:ascii="Times New Roman" w:eastAsia="Times New Roman" w:hAnsi="Times New Roman" w:cs="Times New Roman"/>
                <w:b/>
                <w:sz w:val="24"/>
                <w:szCs w:val="24"/>
                <w:lang w:eastAsia="bg-BG"/>
              </w:rPr>
              <w:t>9 броя</w:t>
            </w:r>
          </w:p>
        </w:tc>
      </w:tr>
    </w:tbl>
    <w:p w:rsidR="005C42AE" w:rsidRPr="005C42AE" w:rsidRDefault="005C42AE" w:rsidP="005C42AE">
      <w:pPr>
        <w:tabs>
          <w:tab w:val="left" w:pos="284"/>
        </w:tabs>
        <w:spacing w:after="0"/>
        <w:rPr>
          <w:rFonts w:ascii="Times New Roman" w:eastAsia="Calibri" w:hAnsi="Times New Roman" w:cs="Times New Roman"/>
          <w:i/>
          <w:lang w:val="bg-BG" w:eastAsia="bg-BG"/>
        </w:rPr>
      </w:pPr>
      <w:r w:rsidRPr="005C42AE">
        <w:rPr>
          <w:rFonts w:ascii="Times New Roman" w:eastAsia="Calibri" w:hAnsi="Times New Roman" w:cs="Times New Roman"/>
          <w:i/>
          <w:lang w:val="bg-BG"/>
        </w:rPr>
        <w:t xml:space="preserve">               Графика №</w:t>
      </w:r>
      <w:r w:rsidR="003767E2">
        <w:rPr>
          <w:rFonts w:ascii="Times New Roman" w:eastAsia="Calibri" w:hAnsi="Times New Roman" w:cs="Times New Roman"/>
          <w:i/>
          <w:lang w:val="bg-BG"/>
        </w:rPr>
        <w:t>2</w:t>
      </w:r>
      <w:r w:rsidRPr="005C42AE">
        <w:rPr>
          <w:rFonts w:ascii="Times New Roman" w:eastAsia="Calibri" w:hAnsi="Times New Roman" w:cs="Times New Roman"/>
          <w:i/>
          <w:lang w:val="bg-BG"/>
        </w:rPr>
        <w:t xml:space="preserve"> - Таблица </w:t>
      </w:r>
      <w:r w:rsidRPr="005C42AE">
        <w:rPr>
          <w:rFonts w:ascii="Times New Roman" w:eastAsia="Calibri" w:hAnsi="Times New Roman" w:cs="Times New Roman"/>
          <w:i/>
          <w:lang w:val="bg-BG" w:eastAsia="bg-BG"/>
        </w:rPr>
        <w:t>с брой общински сгради в община Кайнарджа с РЗП над 250 кв.м.</w:t>
      </w:r>
    </w:p>
    <w:p w:rsidR="005C42AE" w:rsidRPr="005C42AE" w:rsidRDefault="005C42AE" w:rsidP="00471A06">
      <w:pPr>
        <w:tabs>
          <w:tab w:val="left" w:pos="284"/>
        </w:tabs>
        <w:spacing w:after="0" w:line="360" w:lineRule="auto"/>
        <w:ind w:firstLine="709"/>
        <w:jc w:val="both"/>
        <w:rPr>
          <w:rFonts w:ascii="Times New Roman" w:eastAsia="Calibri" w:hAnsi="Times New Roman" w:cs="Times New Roman"/>
          <w:i/>
          <w:lang w:val="bg-BG" w:eastAsia="bg-BG"/>
        </w:rPr>
      </w:pPr>
      <w:r w:rsidRPr="005C42AE">
        <w:rPr>
          <w:rFonts w:ascii="Times New Roman" w:eastAsia="Calibri" w:hAnsi="Times New Roman" w:cs="Times New Roman"/>
          <w:bCs/>
          <w:sz w:val="28"/>
          <w:szCs w:val="28"/>
          <w:lang w:val="bg-BG"/>
        </w:rPr>
        <w:br w:type="textWrapping" w:clear="all"/>
        <w:t xml:space="preserve">            Общинските сгради са повече от 30 на брой, като някои от тях са със значителна разгъната застроена площ/РЗП/, а някои дори не подлежат на обследване, защото са с много малка квадратура. </w:t>
      </w:r>
      <w:r w:rsidRPr="005C42AE">
        <w:rPr>
          <w:rFonts w:ascii="Times New Roman" w:eastAsia="Calibri" w:hAnsi="Times New Roman" w:cs="Times New Roman"/>
          <w:b/>
          <w:bCs/>
          <w:sz w:val="28"/>
          <w:szCs w:val="28"/>
          <w:lang w:val="bg-BG"/>
        </w:rPr>
        <w:t xml:space="preserve">Общата разгъната застроена площ/РЗП/ на общинския сграден фонд е - </w:t>
      </w:r>
      <w:r w:rsidRPr="005C42AE">
        <w:rPr>
          <w:rFonts w:ascii="Times New Roman" w:eastAsia="Calibri" w:hAnsi="Times New Roman" w:cs="Times New Roman"/>
          <w:bCs/>
          <w:sz w:val="28"/>
          <w:szCs w:val="28"/>
          <w:lang w:val="bg-BG"/>
        </w:rPr>
        <w:t xml:space="preserve"> </w:t>
      </w:r>
      <w:r w:rsidRPr="005C42AE">
        <w:rPr>
          <w:rFonts w:ascii="Times New Roman" w:eastAsia="Calibri" w:hAnsi="Times New Roman" w:cs="Times New Roman"/>
          <w:b/>
          <w:bCs/>
          <w:sz w:val="28"/>
          <w:szCs w:val="28"/>
          <w:lang w:val="bg-BG"/>
        </w:rPr>
        <w:t>27 346 кв.м.</w:t>
      </w:r>
      <w:r w:rsidRPr="005C42AE">
        <w:rPr>
          <w:rFonts w:ascii="Times New Roman" w:eastAsia="Calibri" w:hAnsi="Times New Roman" w:cs="Times New Roman"/>
          <w:bCs/>
          <w:sz w:val="28"/>
          <w:szCs w:val="28"/>
          <w:lang w:val="bg-BG"/>
        </w:rPr>
        <w:t xml:space="preserve">  Според Европейската директива от 2012 година всяка година трябваше по 3% от РЗП да бъде реновирана и да са въведени енергоефективни мерки или за изтеклите 10 години – 27 % от цялата площ трябва да са реновирани и с въведени ЕЕМ или -8 205 кв.м. общо. След постоянните ремонти и ново строителство в общината има въведени енергоефективни мерки/ЕЕМ/ в почти всички сгради за периода 2011 – 2021 година , т.е . на обща площ – 26 544 кв.м. от РЗП  на всички сгради или </w:t>
      </w:r>
      <w:r w:rsidRPr="005C42AE">
        <w:rPr>
          <w:rFonts w:ascii="Times New Roman" w:eastAsia="Calibri" w:hAnsi="Times New Roman" w:cs="Times New Roman"/>
          <w:b/>
          <w:bCs/>
          <w:sz w:val="28"/>
          <w:szCs w:val="28"/>
          <w:lang w:val="bg-BG"/>
        </w:rPr>
        <w:t>това е 97%</w:t>
      </w:r>
    </w:p>
    <w:p w:rsidR="005C42AE" w:rsidRDefault="005C42AE" w:rsidP="00471A06">
      <w:pPr>
        <w:tabs>
          <w:tab w:val="left" w:pos="284"/>
        </w:tabs>
        <w:spacing w:after="0" w:line="360" w:lineRule="auto"/>
        <w:ind w:firstLine="709"/>
        <w:jc w:val="both"/>
        <w:rPr>
          <w:rFonts w:ascii="Times New Roman" w:eastAsia="Calibri" w:hAnsi="Times New Roman" w:cs="Times New Roman"/>
          <w:bCs/>
          <w:sz w:val="28"/>
          <w:szCs w:val="28"/>
          <w:lang w:val="bg-BG"/>
        </w:rPr>
      </w:pPr>
      <w:r w:rsidRPr="005C42AE">
        <w:rPr>
          <w:rFonts w:ascii="Times New Roman" w:eastAsia="Calibri" w:hAnsi="Times New Roman" w:cs="Times New Roman"/>
          <w:b/>
          <w:bCs/>
          <w:sz w:val="28"/>
          <w:szCs w:val="28"/>
          <w:lang w:val="bg-BG"/>
        </w:rPr>
        <w:t xml:space="preserve">Може да се отбележи с удовлетворение, че само малка част от сградния фонд не е реновирана – всички имат подменена дограма, като това е най-високоефективната мярка за подобряване на енергийните характеристики на една сграда, има и други въведени ЕЕМ, като полагане на външна изолация, полагане на подпокривна изолация, </w:t>
      </w:r>
      <w:r w:rsidRPr="007C67BD">
        <w:rPr>
          <w:rFonts w:ascii="Times New Roman" w:eastAsia="Calibri" w:hAnsi="Times New Roman" w:cs="Times New Roman"/>
          <w:bCs/>
          <w:sz w:val="28"/>
          <w:szCs w:val="28"/>
          <w:lang w:val="bg-BG"/>
        </w:rPr>
        <w:t xml:space="preserve">подмяна на горивни съоръжения от отоплителните инсталации за въвеждане </w:t>
      </w:r>
      <w:r w:rsidRPr="007C67BD">
        <w:rPr>
          <w:rFonts w:ascii="Times New Roman" w:eastAsia="Calibri" w:hAnsi="Times New Roman" w:cs="Times New Roman"/>
          <w:bCs/>
          <w:sz w:val="28"/>
          <w:szCs w:val="28"/>
          <w:lang w:val="bg-BG"/>
        </w:rPr>
        <w:lastRenderedPageBreak/>
        <w:t>на по-високоефективно гориво – пелети</w:t>
      </w:r>
      <w:r w:rsidR="00FB525C" w:rsidRPr="007C67BD">
        <w:rPr>
          <w:rFonts w:ascii="Times New Roman" w:eastAsia="Calibri" w:hAnsi="Times New Roman" w:cs="Times New Roman"/>
          <w:bCs/>
          <w:sz w:val="28"/>
          <w:szCs w:val="28"/>
          <w:lang w:val="bg-BG"/>
        </w:rPr>
        <w:t>, въвеждане на горивни системи</w:t>
      </w:r>
      <w:r w:rsidR="007D10B1">
        <w:rPr>
          <w:rFonts w:ascii="Times New Roman" w:eastAsia="Calibri" w:hAnsi="Times New Roman" w:cs="Times New Roman"/>
          <w:bCs/>
          <w:sz w:val="28"/>
          <w:szCs w:val="28"/>
          <w:lang w:val="bg-BG"/>
        </w:rPr>
        <w:t xml:space="preserve">, използващи енергия от </w:t>
      </w:r>
      <w:r w:rsidR="00FB525C" w:rsidRPr="007C67BD">
        <w:rPr>
          <w:rFonts w:ascii="Times New Roman" w:eastAsia="Calibri" w:hAnsi="Times New Roman" w:cs="Times New Roman"/>
          <w:bCs/>
          <w:sz w:val="28"/>
          <w:szCs w:val="28"/>
          <w:lang w:val="bg-BG"/>
        </w:rPr>
        <w:t>възобновяеми източници</w:t>
      </w:r>
      <w:r w:rsidR="007D10B1">
        <w:rPr>
          <w:rFonts w:ascii="Times New Roman" w:eastAsia="Calibri" w:hAnsi="Times New Roman" w:cs="Times New Roman"/>
          <w:bCs/>
          <w:sz w:val="28"/>
          <w:szCs w:val="28"/>
          <w:lang w:val="bg-BG"/>
        </w:rPr>
        <w:t>/ЕВИ/</w:t>
      </w:r>
      <w:r w:rsidRPr="007C67BD">
        <w:rPr>
          <w:rFonts w:ascii="Times New Roman" w:eastAsia="Calibri" w:hAnsi="Times New Roman" w:cs="Times New Roman"/>
          <w:bCs/>
          <w:sz w:val="28"/>
          <w:szCs w:val="28"/>
          <w:lang w:val="bg-BG"/>
        </w:rPr>
        <w:t xml:space="preserve"> и т.н.</w:t>
      </w:r>
    </w:p>
    <w:p w:rsidR="007C67BD" w:rsidRDefault="007C67BD" w:rsidP="007C67BD">
      <w:pPr>
        <w:tabs>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bg-BG" w:eastAsia="bg-BG"/>
        </w:rPr>
      </w:pPr>
      <w:r w:rsidRPr="005C42AE">
        <w:rPr>
          <w:rFonts w:ascii="Times New Roman" w:eastAsia="Times New Roman" w:hAnsi="Times New Roman" w:cs="Times New Roman"/>
          <w:sz w:val="28"/>
          <w:szCs w:val="28"/>
          <w:lang w:val="bg-BG" w:eastAsia="bg-BG"/>
        </w:rPr>
        <w:t>Общинска адми</w:t>
      </w:r>
      <w:r>
        <w:rPr>
          <w:rFonts w:ascii="Times New Roman" w:eastAsia="Times New Roman" w:hAnsi="Times New Roman" w:cs="Times New Roman"/>
          <w:sz w:val="28"/>
          <w:szCs w:val="28"/>
          <w:lang w:val="bg-BG" w:eastAsia="bg-BG"/>
        </w:rPr>
        <w:t xml:space="preserve">нистрация Кайнарджа промени горивата в три от социалните заведения на общината, като осъществи ремонтни дейности и въведе горивни системи със съвременно биологично гориво – екопелети, вместо дърва и въглища. Това са горивни системи в ДЦПЛУ, с Средище, ДЦСХ и ЦНСТ за деца и младежи без увреждания в с. Кайнарджа. Същевременно в ДЦПЛУ, с Средище бе построена и локална фотоволтаична електроцентрала /ФтЕЦ/ с разположени на покрива фотоволтаични </w:t>
      </w:r>
      <w:r w:rsidR="007861DD">
        <w:rPr>
          <w:rFonts w:ascii="Times New Roman" w:eastAsia="Times New Roman" w:hAnsi="Times New Roman" w:cs="Times New Roman"/>
          <w:sz w:val="28"/>
          <w:szCs w:val="28"/>
          <w:lang w:val="bg-BG" w:eastAsia="bg-BG"/>
        </w:rPr>
        <w:t xml:space="preserve">панели, която задоволява собствените потребности на заведението за социални услуги, а когато произведената енергия/през лятото/ е в повече – се продава на електроснабдителното дружество. </w:t>
      </w:r>
    </w:p>
    <w:p w:rsidR="007C67BD" w:rsidRPr="00FC62E5" w:rsidRDefault="007861DD" w:rsidP="00FC62E5">
      <w:pPr>
        <w:tabs>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bg-BG" w:eastAsia="bg-BG"/>
        </w:rPr>
      </w:pPr>
      <w:r>
        <w:rPr>
          <w:rFonts w:ascii="Times New Roman" w:eastAsia="Times New Roman" w:hAnsi="Times New Roman" w:cs="Times New Roman"/>
          <w:sz w:val="28"/>
          <w:szCs w:val="28"/>
          <w:lang w:val="bg-BG" w:eastAsia="bg-BG"/>
        </w:rPr>
        <w:t>Тези нововъведения бяха напр</w:t>
      </w:r>
      <w:r w:rsidR="00AA3CC3">
        <w:rPr>
          <w:rFonts w:ascii="Times New Roman" w:eastAsia="Times New Roman" w:hAnsi="Times New Roman" w:cs="Times New Roman"/>
          <w:sz w:val="28"/>
          <w:szCs w:val="28"/>
          <w:lang w:val="bg-BG" w:eastAsia="bg-BG"/>
        </w:rPr>
        <w:t>авени през периода на предходната</w:t>
      </w:r>
      <w:r>
        <w:rPr>
          <w:rFonts w:ascii="Times New Roman" w:eastAsia="Times New Roman" w:hAnsi="Times New Roman" w:cs="Times New Roman"/>
          <w:sz w:val="28"/>
          <w:szCs w:val="28"/>
          <w:lang w:val="bg-BG" w:eastAsia="bg-BG"/>
        </w:rPr>
        <w:t xml:space="preserve"> тригодишна краткосрочна програма /2019-2021 г./ за насърчаване на използването на ЕВИ.</w:t>
      </w:r>
      <w:r w:rsidR="00FC62E5">
        <w:rPr>
          <w:rFonts w:ascii="Times New Roman" w:eastAsia="Times New Roman" w:hAnsi="Times New Roman" w:cs="Times New Roman"/>
          <w:sz w:val="28"/>
          <w:szCs w:val="28"/>
          <w:lang w:val="bg-BG" w:eastAsia="bg-BG"/>
        </w:rPr>
        <w:t xml:space="preserve"> </w:t>
      </w:r>
      <w:r w:rsidR="006D0457">
        <w:rPr>
          <w:rFonts w:ascii="Times New Roman" w:eastAsia="Times New Roman" w:hAnsi="Times New Roman" w:cs="Times New Roman"/>
          <w:sz w:val="28"/>
          <w:szCs w:val="28"/>
          <w:lang w:val="bg-BG" w:eastAsia="bg-BG"/>
        </w:rPr>
        <w:t>Те са компонента от подхода за повишаване на енергийнат</w:t>
      </w:r>
      <w:r w:rsidR="00FC62E5">
        <w:rPr>
          <w:rFonts w:ascii="Times New Roman" w:eastAsia="Times New Roman" w:hAnsi="Times New Roman" w:cs="Times New Roman"/>
          <w:sz w:val="28"/>
          <w:szCs w:val="28"/>
          <w:lang w:val="bg-BG" w:eastAsia="bg-BG"/>
        </w:rPr>
        <w:t>а ефективност/ЕЕ/ на сградите в община Кайнарджа.</w:t>
      </w:r>
    </w:p>
    <w:p w:rsidR="007C67BD" w:rsidRPr="005C42AE" w:rsidRDefault="007C67BD" w:rsidP="00471A06">
      <w:pPr>
        <w:tabs>
          <w:tab w:val="left" w:pos="284"/>
        </w:tabs>
        <w:spacing w:after="0" w:line="360" w:lineRule="auto"/>
        <w:ind w:firstLine="709"/>
        <w:jc w:val="both"/>
        <w:rPr>
          <w:rFonts w:ascii="Times New Roman" w:eastAsia="Calibri" w:hAnsi="Times New Roman" w:cs="Times New Roman"/>
          <w:b/>
          <w:bCs/>
          <w:sz w:val="28"/>
          <w:szCs w:val="28"/>
          <w:lang w:val="bg-BG"/>
        </w:rPr>
      </w:pPr>
      <w:r>
        <w:rPr>
          <w:rFonts w:ascii="Times New Roman" w:eastAsia="Calibri" w:hAnsi="Times New Roman" w:cs="Times New Roman"/>
          <w:b/>
          <w:bCs/>
          <w:sz w:val="28"/>
          <w:szCs w:val="28"/>
          <w:lang w:val="bg-BG"/>
        </w:rPr>
        <w:t>Една от целите на настоящата програма е насърчаване на въвеждането на такива енергоизточници с използване на възобновяема енергия в почти всички сгради, включително и в частните домове.</w:t>
      </w:r>
    </w:p>
    <w:p w:rsidR="0066729E" w:rsidRPr="00BE2B92" w:rsidRDefault="0066729E" w:rsidP="00471A06">
      <w:pPr>
        <w:spacing w:after="0" w:line="360" w:lineRule="auto"/>
        <w:ind w:firstLine="709"/>
        <w:jc w:val="both"/>
        <w:rPr>
          <w:lang w:val="bg-BG"/>
        </w:rPr>
      </w:pPr>
    </w:p>
    <w:p w:rsidR="005D0C17" w:rsidRPr="00BE2B92" w:rsidRDefault="009B54A0" w:rsidP="00471A06">
      <w:pPr>
        <w:pStyle w:val="10"/>
        <w:spacing w:before="0" w:line="360" w:lineRule="auto"/>
        <w:ind w:firstLine="709"/>
        <w:jc w:val="both"/>
        <w:rPr>
          <w:rFonts w:ascii="Times New Roman" w:hAnsi="Times New Roman" w:cs="Times New Roman"/>
          <w:b/>
          <w:color w:val="auto"/>
          <w:sz w:val="28"/>
          <w:szCs w:val="28"/>
          <w:lang w:val="bg-BG"/>
        </w:rPr>
      </w:pPr>
      <w:bookmarkStart w:id="16" w:name="_Toc96613178"/>
      <w:r>
        <w:rPr>
          <w:rFonts w:ascii="Times New Roman" w:hAnsi="Times New Roman" w:cs="Times New Roman"/>
          <w:b/>
          <w:color w:val="auto"/>
          <w:sz w:val="28"/>
          <w:szCs w:val="28"/>
          <w:lang w:val="bg-BG"/>
        </w:rPr>
        <w:t>5.</w:t>
      </w:r>
      <w:r w:rsidR="00B93882">
        <w:rPr>
          <w:rFonts w:ascii="Times New Roman" w:hAnsi="Times New Roman" w:cs="Times New Roman"/>
          <w:b/>
          <w:color w:val="auto"/>
          <w:sz w:val="28"/>
          <w:szCs w:val="28"/>
          <w:lang w:val="bg-BG"/>
        </w:rPr>
        <w:t>4</w:t>
      </w:r>
      <w:r>
        <w:rPr>
          <w:rFonts w:ascii="Times New Roman" w:hAnsi="Times New Roman" w:cs="Times New Roman"/>
          <w:b/>
          <w:color w:val="auto"/>
          <w:sz w:val="28"/>
          <w:szCs w:val="28"/>
          <w:lang w:val="bg-BG"/>
        </w:rPr>
        <w:t xml:space="preserve">. </w:t>
      </w:r>
      <w:r w:rsidR="005D0C17" w:rsidRPr="00BE2B92">
        <w:rPr>
          <w:rFonts w:ascii="Times New Roman" w:hAnsi="Times New Roman" w:cs="Times New Roman"/>
          <w:b/>
          <w:color w:val="auto"/>
          <w:sz w:val="28"/>
          <w:szCs w:val="28"/>
          <w:lang w:val="bg-BG"/>
        </w:rPr>
        <w:t xml:space="preserve"> Промишлени предприятия</w:t>
      </w:r>
      <w:bookmarkEnd w:id="16"/>
      <w:r w:rsidR="005D0C17" w:rsidRPr="00BE2B92">
        <w:rPr>
          <w:rFonts w:ascii="Times New Roman" w:hAnsi="Times New Roman" w:cs="Times New Roman"/>
          <w:b/>
          <w:color w:val="auto"/>
          <w:sz w:val="28"/>
          <w:szCs w:val="28"/>
          <w:lang w:val="bg-BG"/>
        </w:rPr>
        <w:t xml:space="preserve"> </w:t>
      </w:r>
    </w:p>
    <w:p w:rsidR="001E2DDD" w:rsidRPr="00BE2B92" w:rsidRDefault="001E2DDD" w:rsidP="00471A06">
      <w:pPr>
        <w:spacing w:after="0" w:line="360" w:lineRule="auto"/>
        <w:ind w:firstLine="709"/>
        <w:rPr>
          <w:lang w:val="bg-BG"/>
        </w:rPr>
      </w:pPr>
    </w:p>
    <w:p w:rsidR="005C42AE" w:rsidRPr="005C42AE" w:rsidRDefault="005C42AE" w:rsidP="00471A06">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t xml:space="preserve">Промишлеността в община Кайнарджа се състои от изключително малко на брой обекти, но е с голямо значение за общинската икономика, тъй като обслужва производителите на земеделска продукция, а те от своя страна съставляват основната част от икономическите дейности в общината. Тук има предимно складови стопанства и зърноплощадки, както и някои обекти за </w:t>
      </w:r>
      <w:r w:rsidRPr="005C42AE">
        <w:rPr>
          <w:rFonts w:ascii="Times New Roman" w:eastAsia="Calibri" w:hAnsi="Times New Roman" w:cs="Times New Roman"/>
          <w:sz w:val="28"/>
          <w:szCs w:val="28"/>
          <w:lang w:val="bg-BG"/>
        </w:rPr>
        <w:lastRenderedPageBreak/>
        <w:t>търговия на дребно в почти всички села от общината</w:t>
      </w:r>
    </w:p>
    <w:p w:rsidR="005C42AE" w:rsidRPr="005C42AE" w:rsidRDefault="005C42AE" w:rsidP="00471A06">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t>В землището на с. Кайнарджа съществува кариера за варовици. Основните субекти с местен капитал извършват търговска дейност в сферата на услугите, аренда на земеделска земя, търговия с горива – две бензиностанции - в Кайнарджа и с. Средище; зърнопреработка и съхранение на зърно – до пет зърноплощадки в общината; авиационни услуги в селското стопанство</w:t>
      </w:r>
      <w:r w:rsidR="00AA3CC3">
        <w:rPr>
          <w:rFonts w:ascii="Times New Roman" w:eastAsia="Calibri" w:hAnsi="Times New Roman" w:cs="Times New Roman"/>
          <w:sz w:val="28"/>
          <w:szCs w:val="28"/>
          <w:lang w:val="bg-BG"/>
        </w:rPr>
        <w:t xml:space="preserve"> и туристически авиоразходки</w:t>
      </w:r>
      <w:r w:rsidRPr="005C42AE">
        <w:rPr>
          <w:rFonts w:ascii="Times New Roman" w:eastAsia="Calibri" w:hAnsi="Times New Roman" w:cs="Times New Roman"/>
          <w:sz w:val="28"/>
          <w:szCs w:val="28"/>
          <w:lang w:val="bg-BG"/>
        </w:rPr>
        <w:t xml:space="preserve">, предоставяни от фирма Ребус. </w:t>
      </w:r>
    </w:p>
    <w:p w:rsidR="005C42AE" w:rsidRPr="005C42AE" w:rsidRDefault="005C42AE" w:rsidP="00471A06">
      <w:pPr>
        <w:widowControl w:val="0"/>
        <w:tabs>
          <w:tab w:val="left" w:pos="1134"/>
        </w:tabs>
        <w:autoSpaceDE w:val="0"/>
        <w:autoSpaceDN w:val="0"/>
        <w:spacing w:after="0" w:line="360" w:lineRule="auto"/>
        <w:ind w:firstLine="709"/>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t>За всички сгради, които са собственост на горепосочените юридически лица, извършващи различни дейности, собствениците е необходимо да въвеж</w:t>
      </w:r>
      <w:r w:rsidR="009B54A0">
        <w:rPr>
          <w:rFonts w:ascii="Times New Roman" w:eastAsia="Calibri" w:hAnsi="Times New Roman" w:cs="Times New Roman"/>
          <w:sz w:val="28"/>
          <w:szCs w:val="28"/>
          <w:lang w:val="bg-BG"/>
        </w:rPr>
        <w:t>дат енергоефективни мерки /ЕЕМ/ и биват насърчавани да използват енергия от ВИ.</w:t>
      </w:r>
    </w:p>
    <w:p w:rsidR="0066729E" w:rsidRPr="00BE2B92" w:rsidRDefault="0066729E" w:rsidP="001E2DDD">
      <w:pPr>
        <w:tabs>
          <w:tab w:val="left" w:pos="1134"/>
        </w:tabs>
        <w:spacing w:after="0" w:line="360" w:lineRule="auto"/>
        <w:ind w:firstLine="709"/>
        <w:jc w:val="both"/>
        <w:rPr>
          <w:lang w:val="bg-BG"/>
        </w:rPr>
      </w:pPr>
    </w:p>
    <w:p w:rsidR="005D0C17" w:rsidRPr="00BE2B92" w:rsidRDefault="009B54A0" w:rsidP="001E2DDD">
      <w:pPr>
        <w:pStyle w:val="10"/>
        <w:tabs>
          <w:tab w:val="left" w:pos="1134"/>
        </w:tabs>
        <w:spacing w:before="0" w:line="360" w:lineRule="auto"/>
        <w:ind w:firstLine="709"/>
        <w:jc w:val="both"/>
        <w:rPr>
          <w:rFonts w:ascii="Times New Roman" w:hAnsi="Times New Roman" w:cs="Times New Roman"/>
          <w:b/>
          <w:color w:val="auto"/>
          <w:sz w:val="28"/>
          <w:szCs w:val="28"/>
          <w:lang w:val="bg-BG"/>
        </w:rPr>
      </w:pPr>
      <w:bookmarkStart w:id="17" w:name="_Toc96613179"/>
      <w:r>
        <w:rPr>
          <w:rFonts w:ascii="Times New Roman" w:hAnsi="Times New Roman" w:cs="Times New Roman"/>
          <w:b/>
          <w:color w:val="auto"/>
          <w:sz w:val="28"/>
          <w:szCs w:val="28"/>
          <w:lang w:val="bg-BG"/>
        </w:rPr>
        <w:t>5.</w:t>
      </w:r>
      <w:r w:rsidR="00B93882">
        <w:rPr>
          <w:rFonts w:ascii="Times New Roman" w:hAnsi="Times New Roman" w:cs="Times New Roman"/>
          <w:b/>
          <w:color w:val="auto"/>
          <w:sz w:val="28"/>
          <w:szCs w:val="28"/>
          <w:lang w:val="bg-BG"/>
        </w:rPr>
        <w:t>5</w:t>
      </w:r>
      <w:r>
        <w:rPr>
          <w:rFonts w:ascii="Times New Roman" w:hAnsi="Times New Roman" w:cs="Times New Roman"/>
          <w:b/>
          <w:color w:val="auto"/>
          <w:sz w:val="28"/>
          <w:szCs w:val="28"/>
          <w:lang w:val="bg-BG"/>
        </w:rPr>
        <w:t>.</w:t>
      </w:r>
      <w:r w:rsidR="005D0C17" w:rsidRPr="00BE2B92">
        <w:rPr>
          <w:rFonts w:ascii="Times New Roman" w:hAnsi="Times New Roman" w:cs="Times New Roman"/>
          <w:b/>
          <w:color w:val="auto"/>
          <w:sz w:val="28"/>
          <w:szCs w:val="28"/>
          <w:lang w:val="bg-BG"/>
        </w:rPr>
        <w:t xml:space="preserve"> Транспорт</w:t>
      </w:r>
      <w:bookmarkEnd w:id="17"/>
      <w:r w:rsidR="005D0C17" w:rsidRPr="00BE2B92">
        <w:rPr>
          <w:rFonts w:ascii="Times New Roman" w:hAnsi="Times New Roman" w:cs="Times New Roman"/>
          <w:b/>
          <w:color w:val="auto"/>
          <w:sz w:val="28"/>
          <w:szCs w:val="28"/>
          <w:lang w:val="bg-BG"/>
        </w:rPr>
        <w:t xml:space="preserve"> </w:t>
      </w:r>
    </w:p>
    <w:p w:rsidR="005C42AE" w:rsidRPr="005C42AE" w:rsidRDefault="005C42AE" w:rsidP="001E2DDD">
      <w:pPr>
        <w:widowControl w:val="0"/>
        <w:tabs>
          <w:tab w:val="left" w:pos="1134"/>
        </w:tabs>
        <w:autoSpaceDE w:val="0"/>
        <w:autoSpaceDN w:val="0"/>
        <w:spacing w:after="0" w:line="360" w:lineRule="auto"/>
        <w:ind w:firstLine="709"/>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t>Транспортната инфраструктура на територията на общината е ограничена главно до тази, обслужваща автомобилния транспорт, но все пак в общината има и сертифицирана летателна площадка.</w:t>
      </w:r>
    </w:p>
    <w:p w:rsidR="005C42AE" w:rsidRPr="005C42AE" w:rsidRDefault="005C42AE" w:rsidP="001E2DDD">
      <w:pPr>
        <w:widowControl w:val="0"/>
        <w:tabs>
          <w:tab w:val="left" w:pos="1134"/>
        </w:tabs>
        <w:autoSpaceDE w:val="0"/>
        <w:autoSpaceDN w:val="0"/>
        <w:spacing w:after="0" w:line="360" w:lineRule="auto"/>
        <w:ind w:firstLine="709"/>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t>Категорията на изградената пътна мрежа в общината е ниска. Липсват пътища от I клас. Външните връзки на общината се осигуряват от пътищата от републиканската пътна мрежа, с изключение на международния път Кайнарджа-Липница, на който вече има ГКПП. Този път е все още общински, тъй като не е сменен статутът му.</w:t>
      </w:r>
    </w:p>
    <w:p w:rsidR="005C42AE" w:rsidRPr="005C42AE" w:rsidRDefault="005C42AE" w:rsidP="001E2DDD">
      <w:pPr>
        <w:widowControl w:val="0"/>
        <w:tabs>
          <w:tab w:val="left" w:pos="1134"/>
        </w:tabs>
        <w:autoSpaceDE w:val="0"/>
        <w:autoSpaceDN w:val="0"/>
        <w:spacing w:after="0" w:line="360" w:lineRule="auto"/>
        <w:ind w:firstLine="709"/>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t>Общата дължина на пътната мрежа в общината е 115 км.</w:t>
      </w:r>
    </w:p>
    <w:p w:rsidR="005C42AE" w:rsidRPr="005C42AE" w:rsidRDefault="005C42AE" w:rsidP="001E2DDD">
      <w:pPr>
        <w:widowControl w:val="0"/>
        <w:tabs>
          <w:tab w:val="left" w:pos="1134"/>
        </w:tabs>
        <w:autoSpaceDE w:val="0"/>
        <w:autoSpaceDN w:val="0"/>
        <w:spacing w:after="0" w:line="360" w:lineRule="auto"/>
        <w:ind w:firstLine="709"/>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t>През територията на община Кайнарджа преминават:</w:t>
      </w:r>
    </w:p>
    <w:p w:rsidR="005C42AE" w:rsidRPr="005C42AE" w:rsidRDefault="005C42AE" w:rsidP="001E2DDD">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t>Второкласен държавен път ІІ</w:t>
      </w:r>
      <w:r w:rsidR="00471A06" w:rsidRPr="00BE2B92">
        <w:rPr>
          <w:rFonts w:ascii="Times New Roman" w:eastAsia="Calibri" w:hAnsi="Times New Roman" w:cs="Times New Roman"/>
          <w:sz w:val="28"/>
          <w:szCs w:val="28"/>
          <w:lang w:val="bg-BG"/>
        </w:rPr>
        <w:t xml:space="preserve">-71: Силистра-Добрич-Варна- 18 </w:t>
      </w:r>
      <w:r w:rsidRPr="005C42AE">
        <w:rPr>
          <w:rFonts w:ascii="Times New Roman" w:eastAsia="Calibri" w:hAnsi="Times New Roman" w:cs="Times New Roman"/>
          <w:sz w:val="28"/>
          <w:szCs w:val="28"/>
          <w:lang w:val="bg-BG"/>
        </w:rPr>
        <w:t xml:space="preserve">км </w:t>
      </w:r>
    </w:p>
    <w:p w:rsidR="005C42AE" w:rsidRPr="005C42AE" w:rsidRDefault="005C42AE" w:rsidP="001E2DDD">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t>Третокласен държавен път ІІІ-7001: Алфатар-Войново-Кайнарджа-Краново-Коритен/обл. Добрич/ - 31,9 км</w:t>
      </w:r>
    </w:p>
    <w:p w:rsidR="005C42AE" w:rsidRPr="005C42AE" w:rsidRDefault="005C42AE" w:rsidP="00471A06">
      <w:pPr>
        <w:numPr>
          <w:ilvl w:val="0"/>
          <w:numId w:val="4"/>
        </w:numPr>
        <w:tabs>
          <w:tab w:val="left" w:pos="993"/>
        </w:tabs>
        <w:spacing w:after="0" w:line="360" w:lineRule="auto"/>
        <w:ind w:left="0" w:firstLine="709"/>
        <w:contextualSpacing/>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lastRenderedPageBreak/>
        <w:t>Четвъртокласна общинска пътна мрежа, свързваща селата и други обекти като ГКПП Кайнарджа/Липница или туристически обекти, извън населените места – 65,1 км</w:t>
      </w:r>
    </w:p>
    <w:p w:rsidR="005C42AE" w:rsidRPr="005C42AE" w:rsidRDefault="005C42AE" w:rsidP="00471A06">
      <w:pPr>
        <w:widowControl w:val="0"/>
        <w:tabs>
          <w:tab w:val="left" w:pos="993"/>
        </w:tabs>
        <w:autoSpaceDE w:val="0"/>
        <w:autoSpaceDN w:val="0"/>
        <w:spacing w:after="0" w:line="360" w:lineRule="auto"/>
        <w:ind w:firstLine="709"/>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t>На 03.10.2017 година бе открит ГКПП на територията на общината, между Кайнарджа и Липница (Румъния) във връзка с изградения трансграничен път, който от българска страна бе реконструиран и благоустроен, а на румънска територия бе изграден изцяло нов чрез проект „Трансграничен път Липница-Кайнарджа” по Програмата за трансгранично сътрудничество между България и Румъния 2007-2013 год. и съфинансиран от ЕФРР – с обща дължина 17,8 км. Този път е все още част от четвъртокласната общинска пътна мрежа.</w:t>
      </w:r>
    </w:p>
    <w:p w:rsidR="005C42AE" w:rsidRPr="005C42AE" w:rsidRDefault="005C42AE" w:rsidP="001E2DDD">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t>Този път и новият ГКПП даде началото на съживяване на икономиката на общината, тъй като улеснява свободното преминаване на хора и стоки между двете крайгранични общини и създава възможности за съвместни инициативи и инвестиции. Румъния е вторият най-голям търговски партньор на България след Германия и румънските туристи са един от основните контингенти в България. Между двете държави през последните години се наблюдава истински взрив в икономическия обмен. Повече от 1500 дружества в Румъния са с български капитал, а в България повече от 200 дружества са с румънски и около 1400 са със смесен капитал. Търговският обмен само за първото тримесечие на 2012 г. възлиза на 780 млн. евро.</w:t>
      </w:r>
    </w:p>
    <w:p w:rsidR="005C42AE" w:rsidRPr="005C42AE" w:rsidRDefault="005C42AE" w:rsidP="00AA3CC3">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t>„За периода от 2007 до 2016 година се установява, че по данни на Световната банка външната търговия между България и Румъния бележи увеличение както в стойностно</w:t>
      </w:r>
      <w:r w:rsidR="00AA3CC3">
        <w:rPr>
          <w:rFonts w:ascii="Times New Roman" w:eastAsia="Calibri" w:hAnsi="Times New Roman" w:cs="Times New Roman"/>
          <w:sz w:val="28"/>
          <w:szCs w:val="28"/>
          <w:lang w:val="bg-BG"/>
        </w:rPr>
        <w:t xml:space="preserve"> изражение, така и в натура. </w:t>
      </w:r>
      <w:r w:rsidR="00540BB2">
        <w:rPr>
          <w:rFonts w:ascii="Times New Roman" w:eastAsia="Calibri" w:hAnsi="Times New Roman" w:cs="Times New Roman"/>
          <w:sz w:val="28"/>
          <w:szCs w:val="28"/>
          <w:lang w:val="bg-BG"/>
        </w:rPr>
        <w:t>М</w:t>
      </w:r>
      <w:r w:rsidRPr="005C42AE">
        <w:rPr>
          <w:rFonts w:ascii="Times New Roman" w:eastAsia="Calibri" w:hAnsi="Times New Roman" w:cs="Times New Roman"/>
          <w:sz w:val="28"/>
          <w:szCs w:val="28"/>
          <w:lang w:val="bg-BG"/>
        </w:rPr>
        <w:t xml:space="preserve">ежду двете страни се отчита удвоен поток от стоки, както по отношение на тонаж, така и по отношение на стойност. Това доказва потребността и от финансиране на </w:t>
      </w:r>
      <w:r w:rsidRPr="005C42AE">
        <w:rPr>
          <w:rFonts w:ascii="Times New Roman" w:eastAsia="Calibri" w:hAnsi="Times New Roman" w:cs="Times New Roman"/>
          <w:sz w:val="28"/>
          <w:szCs w:val="28"/>
          <w:lang w:val="bg-BG"/>
        </w:rPr>
        <w:lastRenderedPageBreak/>
        <w:t>проекти за подобряване на трансграничната транспортна свързаност”</w:t>
      </w:r>
      <w:r w:rsidRPr="005C42AE">
        <w:rPr>
          <w:rFonts w:ascii="Times New Roman" w:eastAsia="Calibri" w:hAnsi="Times New Roman" w:cs="Times New Roman"/>
          <w:i/>
          <w:sz w:val="28"/>
          <w:szCs w:val="28"/>
          <w:vertAlign w:val="superscript"/>
          <w:lang w:val="bg-BG"/>
        </w:rPr>
        <w:footnoteReference w:id="1"/>
      </w:r>
    </w:p>
    <w:p w:rsidR="005C42AE" w:rsidRPr="005C42AE" w:rsidRDefault="005C42AE" w:rsidP="001E2DDD">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t>По проекта „Трансграничен път Липница – Кайнарджа” освен изградената отсечка между Липница и Кайнарджа, има още две отсечки, които водят: от българска страна – до светилището „Баджалията” в с. Стрелково, а от румънска страна – пътна отсечка, водеща до товарно пристанище на с. Изворале. Пътната отсечка до с. Стрелково свързва сухоречието на р. Табан и разположените по него археологически обекти, с главния път Силистра – Добрич – Варна и улеснява достъпа на туристи до комплекса от 5 светилища, главното от които е „Баджалията”, като улеснява туристическия обмен между двете общини - Кайнарджа и Липница, наред с възможността и другите туристи да ползват добрата транспортна инфраструктура. Ремонтирани са и почти всички пътни отсечки от четвъртокласната общинска мрежа в цялата община Кайнарджа със средства по проект „Ремонт и реконструкция на общински пътища в община Кайнарджа” от ПРСР2007-2013, както и от капиталовите разходи по общинския бюджет ежегодно се осъществяват голям брой ремонти и на отсечки от четвъртокласната пътна мрежа и на част от улиците.</w:t>
      </w:r>
    </w:p>
    <w:p w:rsidR="005C42AE" w:rsidRPr="005C42AE" w:rsidRDefault="005C42AE" w:rsidP="001E2DDD">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t>Селата са общо взето с висока степен на изграденост на уличната мрежа. В повечето от тях цялата улична мрежа е с трайни настилка. През последните години са ремонтирани част от улиците и се планува продължение на ремонтите на още от улиците във всички села, като на някои места ще се извърши реконструкция на тротоарите.</w:t>
      </w:r>
    </w:p>
    <w:p w:rsidR="005C42AE" w:rsidRPr="005C42AE" w:rsidRDefault="005C42AE" w:rsidP="001E2DDD">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t xml:space="preserve">Изграждането на съвременна инфраструктура е с цел превръщането на община Кайнарджа в привлекателен център за инвестиции, способстващи </w:t>
      </w:r>
      <w:r w:rsidRPr="005C42AE">
        <w:rPr>
          <w:rFonts w:ascii="Times New Roman" w:eastAsia="Calibri" w:hAnsi="Times New Roman" w:cs="Times New Roman"/>
          <w:sz w:val="28"/>
          <w:szCs w:val="28"/>
          <w:lang w:val="bg-BG"/>
        </w:rPr>
        <w:lastRenderedPageBreak/>
        <w:t>ускореното социално- икономическо развитие на общината с крайгранично положение и ускоряване на трансграничното сътрудничество.</w:t>
      </w:r>
      <w:r w:rsidR="00BE121B">
        <w:rPr>
          <w:rFonts w:ascii="Times New Roman" w:eastAsia="Calibri" w:hAnsi="Times New Roman" w:cs="Times New Roman"/>
          <w:sz w:val="28"/>
          <w:szCs w:val="28"/>
          <w:lang w:val="bg-BG"/>
        </w:rPr>
        <w:t xml:space="preserve"> Всичко, което се прави за подобряване на инфраструктурата води до по-малък разход на горива и енергия. Затова община Кайнарджа ще продължава да инвестира в по-добра инфраструктура – и пътната инфраструктура, и сградния фонд, и системите за улично осветление, като се старае да насърчава въвеждането на възобновяеми източници на енергия.</w:t>
      </w:r>
    </w:p>
    <w:p w:rsidR="005C42AE" w:rsidRPr="005C42AE" w:rsidRDefault="005C42AE" w:rsidP="001E2DDD">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t>Връзките на община Кайнарджа се осъществяват с автомобилен и въздушен транспорт. Общинският център отстои на 29 км от гр. Силистра и на 117 км от гр. Варна, на 147 км от гр. Русе, на 109 км от гр. Разград, на 69 км от гр. Добрич, на 113 км от гр. Шумен, на 456 км от гр. София, на 158 км от Букурещ (Румъния), на 42 км от Кълъраш (Румъния), на 125 км от Констанца (Румъния), от Липница(Румъния) – 16 км,   от ГКПП Кайнарджа – само на 4 км, а от  ГКПП Силистра на 30 км.</w:t>
      </w:r>
    </w:p>
    <w:p w:rsidR="001E2DDD" w:rsidRPr="00BE2B92" w:rsidRDefault="005C42AE" w:rsidP="00C006C5">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t xml:space="preserve">По въздух, тези разстояния са още по-малки и могат да се преодоляват чрез използване на самолет или хеликоптер от летище Кайнарджа. </w:t>
      </w:r>
    </w:p>
    <w:p w:rsidR="001E2DDD" w:rsidRPr="00BE2B92" w:rsidRDefault="005C42AE" w:rsidP="00C006C5">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t>Действащата в момента система на транспортно обслужване не осигурява връзки на всички села с общинския център. Хората от най-малките села ползват само личен транспорт, тъй като обществения транспорт не ги включва в маршрутите си.</w:t>
      </w:r>
    </w:p>
    <w:p w:rsidR="005C42AE" w:rsidRPr="005C42AE" w:rsidRDefault="005C42AE" w:rsidP="001E2DDD">
      <w:pPr>
        <w:widowControl w:val="0"/>
        <w:autoSpaceDE w:val="0"/>
        <w:autoSpaceDN w:val="0"/>
        <w:spacing w:after="0" w:line="360" w:lineRule="auto"/>
        <w:ind w:firstLine="851"/>
        <w:jc w:val="both"/>
        <w:rPr>
          <w:rFonts w:ascii="Times New Roman" w:eastAsia="Calibri" w:hAnsi="Times New Roman" w:cs="Times New Roman"/>
          <w:sz w:val="28"/>
          <w:szCs w:val="28"/>
          <w:lang w:val="bg-BG"/>
        </w:rPr>
      </w:pPr>
      <w:r w:rsidRPr="005C42AE">
        <w:rPr>
          <w:rFonts w:ascii="Times New Roman" w:eastAsia="Calibri" w:hAnsi="Times New Roman" w:cs="Times New Roman"/>
          <w:sz w:val="28"/>
          <w:szCs w:val="28"/>
          <w:lang w:val="bg-BG"/>
        </w:rPr>
        <w:t>На територията на община Кайнарджа съществува една от 28-те лицензирани в страната ни летателни площадки в землището на с. Кайнарджа в близост до второкласния път Е-72. Там разполагат със самолети Ан-2,  Чесна и други, чрез коит</w:t>
      </w:r>
      <w:r w:rsidR="00540BB2">
        <w:rPr>
          <w:rFonts w:ascii="Times New Roman" w:eastAsia="Calibri" w:hAnsi="Times New Roman" w:cs="Times New Roman"/>
          <w:sz w:val="28"/>
          <w:szCs w:val="28"/>
          <w:lang w:val="bg-BG"/>
        </w:rPr>
        <w:t xml:space="preserve">о фирмите „Ребус” и „Fly4fun” </w:t>
      </w:r>
      <w:r w:rsidRPr="005C42AE">
        <w:rPr>
          <w:rFonts w:ascii="Times New Roman" w:eastAsia="Calibri" w:hAnsi="Times New Roman" w:cs="Times New Roman"/>
          <w:sz w:val="28"/>
          <w:szCs w:val="28"/>
          <w:lang w:val="bg-BG"/>
        </w:rPr>
        <w:t xml:space="preserve"> извършват авиационни услуги. Едновременно с това съществува база за обучение на пилоти и може да се ползва като място за отдих в съществуващата туристическа спалня към самия обучителен център. Летището се намира само </w:t>
      </w:r>
      <w:r w:rsidRPr="005C42AE">
        <w:rPr>
          <w:rFonts w:ascii="Times New Roman" w:eastAsia="Calibri" w:hAnsi="Times New Roman" w:cs="Times New Roman"/>
          <w:sz w:val="28"/>
          <w:szCs w:val="28"/>
          <w:lang w:val="bg-BG"/>
        </w:rPr>
        <w:lastRenderedPageBreak/>
        <w:t>на двайсетина километра от Силистра и на 120 км от Варна. Предлагат се опознавателни пътувания над природните забележителности, парашутни скокове, полети за селското стопанство. Правят и първи стъпки по разширяване на възможностите за предоставяне авиационни услуги в международен аспект.</w:t>
      </w:r>
    </w:p>
    <w:p w:rsidR="0066729E" w:rsidRPr="00BE2B92" w:rsidRDefault="0066729E" w:rsidP="001E2DDD">
      <w:pPr>
        <w:spacing w:after="0" w:line="360" w:lineRule="auto"/>
        <w:ind w:firstLine="851"/>
        <w:jc w:val="both"/>
        <w:rPr>
          <w:lang w:val="bg-BG"/>
        </w:rPr>
      </w:pPr>
    </w:p>
    <w:p w:rsidR="005D0C17" w:rsidRPr="00BE2B92" w:rsidRDefault="00C006C5" w:rsidP="001E2DDD">
      <w:pPr>
        <w:pStyle w:val="10"/>
        <w:spacing w:before="0" w:line="360" w:lineRule="auto"/>
        <w:ind w:firstLine="851"/>
        <w:jc w:val="both"/>
        <w:rPr>
          <w:rFonts w:ascii="Times New Roman" w:hAnsi="Times New Roman" w:cs="Times New Roman"/>
          <w:b/>
          <w:color w:val="auto"/>
          <w:sz w:val="28"/>
          <w:szCs w:val="28"/>
          <w:lang w:val="bg-BG"/>
        </w:rPr>
      </w:pPr>
      <w:bookmarkStart w:id="18" w:name="_Toc96613180"/>
      <w:r>
        <w:rPr>
          <w:rFonts w:ascii="Times New Roman" w:hAnsi="Times New Roman" w:cs="Times New Roman"/>
          <w:b/>
          <w:color w:val="auto"/>
          <w:sz w:val="28"/>
          <w:szCs w:val="28"/>
          <w:lang w:val="bg-BG"/>
        </w:rPr>
        <w:t>5.</w:t>
      </w:r>
      <w:r w:rsidR="00B93882">
        <w:rPr>
          <w:rFonts w:ascii="Times New Roman" w:hAnsi="Times New Roman" w:cs="Times New Roman"/>
          <w:b/>
          <w:color w:val="auto"/>
          <w:sz w:val="28"/>
          <w:szCs w:val="28"/>
          <w:lang w:val="bg-BG"/>
        </w:rPr>
        <w:t>6</w:t>
      </w:r>
      <w:r>
        <w:rPr>
          <w:rFonts w:ascii="Times New Roman" w:hAnsi="Times New Roman" w:cs="Times New Roman"/>
          <w:b/>
          <w:color w:val="auto"/>
          <w:sz w:val="28"/>
          <w:szCs w:val="28"/>
          <w:lang w:val="bg-BG"/>
        </w:rPr>
        <w:t>.</w:t>
      </w:r>
      <w:r w:rsidR="005D0C17" w:rsidRPr="00BE2B92">
        <w:rPr>
          <w:rFonts w:ascii="Times New Roman" w:hAnsi="Times New Roman" w:cs="Times New Roman"/>
          <w:b/>
          <w:color w:val="auto"/>
          <w:sz w:val="28"/>
          <w:szCs w:val="28"/>
          <w:lang w:val="bg-BG"/>
        </w:rPr>
        <w:t xml:space="preserve"> Селско стопанство</w:t>
      </w:r>
      <w:bookmarkEnd w:id="18"/>
      <w:r w:rsidR="005D0C17" w:rsidRPr="00BE2B92">
        <w:rPr>
          <w:rFonts w:ascii="Times New Roman" w:hAnsi="Times New Roman" w:cs="Times New Roman"/>
          <w:b/>
          <w:color w:val="auto"/>
          <w:sz w:val="28"/>
          <w:szCs w:val="28"/>
          <w:lang w:val="bg-BG"/>
        </w:rPr>
        <w:t xml:space="preserve"> </w:t>
      </w:r>
    </w:p>
    <w:p w:rsidR="00845A01" w:rsidRPr="00BE2B92" w:rsidRDefault="00845A01" w:rsidP="001E2DDD">
      <w:pPr>
        <w:widowControl w:val="0"/>
        <w:autoSpaceDE w:val="0"/>
        <w:autoSpaceDN w:val="0"/>
        <w:spacing w:after="0" w:line="360" w:lineRule="auto"/>
        <w:ind w:firstLine="851"/>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Селското стопанство е основен отрасъл в общинската икономика. Природните условия са изключително благоприятни за развитието на диверсифициран и ефективен аграрен сектор. Общината разполага с плодородна земя и благоприятен за земеделие климат. Селското стопанство има растениевъдно-животновъдно направление.</w:t>
      </w:r>
    </w:p>
    <w:p w:rsidR="00845A01" w:rsidRPr="00BE2B92" w:rsidRDefault="00845A01" w:rsidP="001E2DDD">
      <w:pPr>
        <w:widowControl w:val="0"/>
        <w:autoSpaceDE w:val="0"/>
        <w:autoSpaceDN w:val="0"/>
        <w:spacing w:after="0" w:line="360" w:lineRule="auto"/>
        <w:ind w:firstLine="851"/>
        <w:jc w:val="both"/>
        <w:rPr>
          <w:rFonts w:ascii="Times New Roman" w:eastAsia="Calibri" w:hAnsi="Times New Roman" w:cs="Times New Roman"/>
          <w:sz w:val="28"/>
          <w:szCs w:val="28"/>
          <w:lang w:val="bg-BG"/>
        </w:rPr>
      </w:pPr>
      <w:r w:rsidRPr="00BE2B92">
        <w:rPr>
          <w:rFonts w:ascii="Times New Roman" w:eastAsia="Calibri" w:hAnsi="Times New Roman" w:cs="Times New Roman"/>
          <w:b/>
          <w:sz w:val="28"/>
          <w:szCs w:val="28"/>
          <w:lang w:val="bg-BG"/>
        </w:rPr>
        <w:t>Земеделието</w:t>
      </w:r>
      <w:r w:rsidRPr="00BE2B92">
        <w:rPr>
          <w:rFonts w:ascii="Times New Roman" w:eastAsia="Calibri" w:hAnsi="Times New Roman" w:cs="Times New Roman"/>
          <w:sz w:val="28"/>
          <w:szCs w:val="28"/>
          <w:lang w:val="bg-BG"/>
        </w:rPr>
        <w:t xml:space="preserve"> в община Кайнарджа е силно развито. В общината традиционно се отглеждат едногодишни култури: царевица, пшеница, рапица, слънчоглед. Регистрирани са малки стопанства, в които се отглеждат зеленчуци- предимно пипер и домати, но има и големи арендатори , които отглеждат огромни площи с пшеница, царевица и други, разполагащи с големи селскостопански машини и сериозен автопарк. Към тези машини е необходимо да се насочи вниманието при настоящия анализ – необходимо е да се закупува нова техника, която да е съвременна и енергоикономична. Много от арендаторите закупиха през изминалите 5-10 години нова земеделска техника със съвременни показатели при работата, включително и по-икономични, което е от изключителна важност за намаляване на вредните емисии. </w:t>
      </w:r>
    </w:p>
    <w:p w:rsidR="00845A01" w:rsidRPr="00BE2B92" w:rsidRDefault="00845A01" w:rsidP="001E2DDD">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По данни от регистрите на земеделските стопани, регистрирани и поддържащи актуална регистрация като такива в ОД „Земеделие“, гр. Силистра, броят на стопанствата, в които се отглеждат само трайни </w:t>
      </w:r>
      <w:r w:rsidRPr="00BE2B92">
        <w:rPr>
          <w:rFonts w:ascii="Times New Roman" w:eastAsia="Calibri" w:hAnsi="Times New Roman" w:cs="Times New Roman"/>
          <w:sz w:val="28"/>
          <w:szCs w:val="28"/>
          <w:lang w:val="bg-BG"/>
        </w:rPr>
        <w:lastRenderedPageBreak/>
        <w:t xml:space="preserve">насаждения от </w:t>
      </w:r>
      <w:r w:rsidR="00540BB2">
        <w:rPr>
          <w:rFonts w:ascii="Times New Roman" w:eastAsia="Calibri" w:hAnsi="Times New Roman" w:cs="Times New Roman"/>
          <w:sz w:val="28"/>
          <w:szCs w:val="28"/>
          <w:lang w:val="bg-BG"/>
        </w:rPr>
        <w:t>2016 година до приключилата</w:t>
      </w:r>
      <w:r w:rsidRPr="00BE2B92">
        <w:rPr>
          <w:rFonts w:ascii="Times New Roman" w:eastAsia="Calibri" w:hAnsi="Times New Roman" w:cs="Times New Roman"/>
          <w:sz w:val="28"/>
          <w:szCs w:val="28"/>
          <w:lang w:val="bg-BG"/>
        </w:rPr>
        <w:t xml:space="preserve"> 2020 г. е постоянен 9 стопанства, което показва, че  този подотрасъл е печеливш, въпреки че е свързан с преходен период, през който насажденията не плододават. </w:t>
      </w:r>
    </w:p>
    <w:p w:rsidR="00845A01" w:rsidRPr="00BE2B92" w:rsidRDefault="00845A01" w:rsidP="001E2DDD">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Трябва да се отбележи и относително постоянният брой на стопанствата, в които се стопанисват земеделски площи с начин на трайно ползване „нива“  и обща площ – повече от 50 дка. Това са около и над 50 % от стопанствата в общината. Основна причина за това е наличието на висок клас земеделска техника, с която се обработват стопанисваните площи, гарантира се висок добив и качество на отглежданите култури. Самата техника е с по-нисък разход на гориво, тъй като голяма част от земеделските стопани, особено големите арендатори – кандидатстваха по различните мерки на ПРСР и закупиха високоефективна земеделска техника с добри енергийни характеристики. Една част от тези земеделски стопани от селата Кайнарджа,</w:t>
      </w:r>
      <w:r w:rsidR="00540BB2">
        <w:rPr>
          <w:rFonts w:ascii="Times New Roman" w:eastAsia="Calibri" w:hAnsi="Times New Roman" w:cs="Times New Roman"/>
          <w:sz w:val="28"/>
          <w:szCs w:val="28"/>
          <w:lang w:val="bg-BG"/>
        </w:rPr>
        <w:t xml:space="preserve"> Средище,</w:t>
      </w:r>
      <w:r w:rsidRPr="00BE2B92">
        <w:rPr>
          <w:rFonts w:ascii="Times New Roman" w:eastAsia="Calibri" w:hAnsi="Times New Roman" w:cs="Times New Roman"/>
          <w:sz w:val="28"/>
          <w:szCs w:val="28"/>
          <w:lang w:val="bg-BG"/>
        </w:rPr>
        <w:t xml:space="preserve"> Добруджанка, Поп Русаново, Войново и други, изградиха нови сгради с добри условия за работа на своите работници и служители, и с добри енергийни характеристики на сградите.</w:t>
      </w:r>
      <w:r w:rsidR="00C1133E">
        <w:rPr>
          <w:rFonts w:ascii="Times New Roman" w:eastAsia="Calibri" w:hAnsi="Times New Roman" w:cs="Times New Roman"/>
          <w:sz w:val="28"/>
          <w:szCs w:val="28"/>
          <w:lang w:val="bg-BG"/>
        </w:rPr>
        <w:t xml:space="preserve"> Би било добре ако се обърнат към възобновяеми горива и източници на енергия.</w:t>
      </w:r>
    </w:p>
    <w:p w:rsidR="00845A01" w:rsidRPr="00BE2B92" w:rsidRDefault="00845A01" w:rsidP="001E2DDD">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b/>
          <w:sz w:val="28"/>
          <w:szCs w:val="28"/>
          <w:lang w:val="bg-BG"/>
        </w:rPr>
        <w:t>Животновъдството</w:t>
      </w:r>
      <w:r w:rsidRPr="00BE2B92">
        <w:rPr>
          <w:rFonts w:ascii="Times New Roman" w:eastAsia="Calibri" w:hAnsi="Times New Roman" w:cs="Times New Roman"/>
          <w:sz w:val="28"/>
          <w:szCs w:val="28"/>
          <w:lang w:val="bg-BG"/>
        </w:rPr>
        <w:t xml:space="preserve"> в общината също е традиционен поминък. Ориентирано е към отглеждането на говеда, овце и кози, биволи, различни видове птици и др. Все още действителността е много далеч от ситуация, в която ще може и в  сградите за отглеждане на животните  да има въведени енергоефективни мерки /ЕЕМ/, поради доста тежкото положение на този отрасъл, който не получава особена подкрепа за развитието си от държавата.</w:t>
      </w:r>
    </w:p>
    <w:tbl>
      <w:tblPr>
        <w:tblStyle w:val="af0"/>
        <w:tblW w:w="9634" w:type="dxa"/>
        <w:tblLook w:val="04A0" w:firstRow="1" w:lastRow="0" w:firstColumn="1" w:lastColumn="0" w:noHBand="0" w:noVBand="1"/>
      </w:tblPr>
      <w:tblGrid>
        <w:gridCol w:w="1238"/>
        <w:gridCol w:w="1354"/>
        <w:gridCol w:w="1552"/>
        <w:gridCol w:w="5490"/>
      </w:tblGrid>
      <w:tr w:rsidR="00845A01" w:rsidRPr="00B93882" w:rsidTr="00845A01">
        <w:tc>
          <w:tcPr>
            <w:tcW w:w="1238" w:type="dxa"/>
          </w:tcPr>
          <w:p w:rsidR="00845A01" w:rsidRPr="00BE2B92" w:rsidRDefault="00845A01" w:rsidP="00845A01">
            <w:pPr>
              <w:tabs>
                <w:tab w:val="left" w:pos="1134"/>
              </w:tabs>
              <w:ind w:firstLine="22"/>
              <w:jc w:val="both"/>
              <w:rPr>
                <w:rFonts w:ascii="Times New Roman" w:eastAsia="Calibri" w:hAnsi="Times New Roman" w:cs="Times New Roman"/>
                <w:sz w:val="24"/>
                <w:szCs w:val="24"/>
              </w:rPr>
            </w:pPr>
            <w:r w:rsidRPr="00BE2B92">
              <w:rPr>
                <w:rFonts w:ascii="Times New Roman" w:eastAsia="Calibri" w:hAnsi="Times New Roman" w:cs="Times New Roman"/>
                <w:sz w:val="24"/>
                <w:szCs w:val="24"/>
              </w:rPr>
              <w:t>Период</w:t>
            </w:r>
          </w:p>
        </w:tc>
        <w:tc>
          <w:tcPr>
            <w:tcW w:w="8396" w:type="dxa"/>
            <w:gridSpan w:val="3"/>
          </w:tcPr>
          <w:p w:rsidR="00845A01" w:rsidRPr="00BE2B92" w:rsidRDefault="00845A01" w:rsidP="00845A01">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Брой земеделски стопанства, регистрирани по реда на Наредба № 3 за създаване и поддържане регистър на земеделските стопани</w:t>
            </w:r>
          </w:p>
        </w:tc>
      </w:tr>
      <w:tr w:rsidR="00845A01" w:rsidRPr="00B93882" w:rsidTr="00845A01">
        <w:trPr>
          <w:trHeight w:val="423"/>
        </w:trPr>
        <w:tc>
          <w:tcPr>
            <w:tcW w:w="1238" w:type="dxa"/>
          </w:tcPr>
          <w:p w:rsidR="00845A01" w:rsidRPr="00BE2B92" w:rsidRDefault="00845A01" w:rsidP="00EE7D06">
            <w:pPr>
              <w:tabs>
                <w:tab w:val="left" w:pos="1134"/>
              </w:tabs>
              <w:ind w:firstLine="22"/>
              <w:jc w:val="both"/>
              <w:rPr>
                <w:rFonts w:ascii="Times New Roman" w:eastAsia="Calibri" w:hAnsi="Times New Roman" w:cs="Times New Roman"/>
                <w:sz w:val="24"/>
                <w:szCs w:val="24"/>
              </w:rPr>
            </w:pPr>
          </w:p>
        </w:tc>
        <w:tc>
          <w:tcPr>
            <w:tcW w:w="1354" w:type="dxa"/>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В област Силистра</w:t>
            </w:r>
          </w:p>
        </w:tc>
        <w:tc>
          <w:tcPr>
            <w:tcW w:w="1552" w:type="dxa"/>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В община Кайнарджа</w:t>
            </w:r>
          </w:p>
        </w:tc>
        <w:tc>
          <w:tcPr>
            <w:tcW w:w="5490" w:type="dxa"/>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 съотношение на земеделските стопани в община Кайнарджа, спрямо област Силистра</w:t>
            </w:r>
          </w:p>
        </w:tc>
      </w:tr>
      <w:tr w:rsidR="00845A01" w:rsidRPr="00BE2B92" w:rsidTr="00845A01">
        <w:trPr>
          <w:trHeight w:val="70"/>
        </w:trPr>
        <w:tc>
          <w:tcPr>
            <w:tcW w:w="1238" w:type="dxa"/>
          </w:tcPr>
          <w:p w:rsidR="00845A01" w:rsidRPr="00BE2B92" w:rsidRDefault="00845A01" w:rsidP="00EE7D06">
            <w:pPr>
              <w:tabs>
                <w:tab w:val="left" w:pos="1134"/>
              </w:tabs>
              <w:ind w:firstLine="22"/>
              <w:jc w:val="both"/>
              <w:rPr>
                <w:rFonts w:ascii="Times New Roman" w:eastAsia="Calibri" w:hAnsi="Times New Roman" w:cs="Times New Roman"/>
                <w:sz w:val="24"/>
                <w:szCs w:val="24"/>
              </w:rPr>
            </w:pPr>
            <w:r w:rsidRPr="00BE2B92">
              <w:rPr>
                <w:rFonts w:ascii="Times New Roman" w:eastAsia="Calibri" w:hAnsi="Times New Roman" w:cs="Times New Roman"/>
                <w:sz w:val="24"/>
                <w:szCs w:val="24"/>
              </w:rPr>
              <w:t>2016</w:t>
            </w:r>
          </w:p>
        </w:tc>
        <w:tc>
          <w:tcPr>
            <w:tcW w:w="1354" w:type="dxa"/>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3 425</w:t>
            </w:r>
          </w:p>
        </w:tc>
        <w:tc>
          <w:tcPr>
            <w:tcW w:w="1552" w:type="dxa"/>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126</w:t>
            </w:r>
          </w:p>
        </w:tc>
        <w:tc>
          <w:tcPr>
            <w:tcW w:w="5490" w:type="dxa"/>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3,68%</w:t>
            </w:r>
          </w:p>
        </w:tc>
      </w:tr>
      <w:tr w:rsidR="00845A01" w:rsidRPr="00BE2B92" w:rsidTr="00845A01">
        <w:tc>
          <w:tcPr>
            <w:tcW w:w="1238" w:type="dxa"/>
          </w:tcPr>
          <w:p w:rsidR="00845A01" w:rsidRPr="00BE2B92" w:rsidRDefault="00845A01" w:rsidP="00EE7D06">
            <w:pPr>
              <w:tabs>
                <w:tab w:val="left" w:pos="1134"/>
              </w:tabs>
              <w:ind w:firstLine="22"/>
              <w:jc w:val="both"/>
              <w:rPr>
                <w:rFonts w:ascii="Times New Roman" w:eastAsia="Calibri" w:hAnsi="Times New Roman" w:cs="Times New Roman"/>
                <w:sz w:val="24"/>
                <w:szCs w:val="24"/>
              </w:rPr>
            </w:pPr>
            <w:r w:rsidRPr="00BE2B92">
              <w:rPr>
                <w:rFonts w:ascii="Times New Roman" w:eastAsia="Calibri" w:hAnsi="Times New Roman" w:cs="Times New Roman"/>
                <w:sz w:val="24"/>
                <w:szCs w:val="24"/>
              </w:rPr>
              <w:t>2017</w:t>
            </w:r>
          </w:p>
        </w:tc>
        <w:tc>
          <w:tcPr>
            <w:tcW w:w="1354" w:type="dxa"/>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3 362</w:t>
            </w:r>
          </w:p>
        </w:tc>
        <w:tc>
          <w:tcPr>
            <w:tcW w:w="1552" w:type="dxa"/>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118</w:t>
            </w:r>
          </w:p>
        </w:tc>
        <w:tc>
          <w:tcPr>
            <w:tcW w:w="5490" w:type="dxa"/>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3,51%</w:t>
            </w:r>
          </w:p>
        </w:tc>
      </w:tr>
      <w:tr w:rsidR="00845A01" w:rsidRPr="00BE2B92" w:rsidTr="00845A01">
        <w:tc>
          <w:tcPr>
            <w:tcW w:w="1238" w:type="dxa"/>
          </w:tcPr>
          <w:p w:rsidR="00845A01" w:rsidRPr="00BE2B92" w:rsidRDefault="00845A01" w:rsidP="00EE7D06">
            <w:pPr>
              <w:tabs>
                <w:tab w:val="left" w:pos="1134"/>
              </w:tabs>
              <w:ind w:firstLine="22"/>
              <w:jc w:val="both"/>
              <w:rPr>
                <w:rFonts w:ascii="Times New Roman" w:eastAsia="Calibri" w:hAnsi="Times New Roman" w:cs="Times New Roman"/>
                <w:sz w:val="24"/>
                <w:szCs w:val="24"/>
              </w:rPr>
            </w:pPr>
            <w:r w:rsidRPr="00BE2B92">
              <w:rPr>
                <w:rFonts w:ascii="Times New Roman" w:eastAsia="Calibri" w:hAnsi="Times New Roman" w:cs="Times New Roman"/>
                <w:sz w:val="24"/>
                <w:szCs w:val="24"/>
              </w:rPr>
              <w:lastRenderedPageBreak/>
              <w:t>2018</w:t>
            </w:r>
          </w:p>
        </w:tc>
        <w:tc>
          <w:tcPr>
            <w:tcW w:w="1354" w:type="dxa"/>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3 250</w:t>
            </w:r>
          </w:p>
        </w:tc>
        <w:tc>
          <w:tcPr>
            <w:tcW w:w="1552" w:type="dxa"/>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106</w:t>
            </w:r>
          </w:p>
        </w:tc>
        <w:tc>
          <w:tcPr>
            <w:tcW w:w="5490" w:type="dxa"/>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3,3%</w:t>
            </w:r>
          </w:p>
        </w:tc>
      </w:tr>
      <w:tr w:rsidR="00845A01" w:rsidRPr="00BE2B92" w:rsidTr="00845A01">
        <w:tc>
          <w:tcPr>
            <w:tcW w:w="1238" w:type="dxa"/>
          </w:tcPr>
          <w:p w:rsidR="00845A01" w:rsidRPr="00BE2B92" w:rsidRDefault="00845A01" w:rsidP="00EE7D06">
            <w:pPr>
              <w:tabs>
                <w:tab w:val="left" w:pos="1134"/>
              </w:tabs>
              <w:ind w:firstLine="22"/>
              <w:jc w:val="both"/>
              <w:rPr>
                <w:rFonts w:ascii="Times New Roman" w:eastAsia="Calibri" w:hAnsi="Times New Roman" w:cs="Times New Roman"/>
                <w:sz w:val="24"/>
                <w:szCs w:val="24"/>
              </w:rPr>
            </w:pPr>
            <w:r w:rsidRPr="00BE2B92">
              <w:rPr>
                <w:rFonts w:ascii="Times New Roman" w:eastAsia="Calibri" w:hAnsi="Times New Roman" w:cs="Times New Roman"/>
                <w:sz w:val="24"/>
                <w:szCs w:val="24"/>
              </w:rPr>
              <w:t>2019</w:t>
            </w:r>
          </w:p>
        </w:tc>
        <w:tc>
          <w:tcPr>
            <w:tcW w:w="1354" w:type="dxa"/>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3 083</w:t>
            </w:r>
          </w:p>
        </w:tc>
        <w:tc>
          <w:tcPr>
            <w:tcW w:w="1552" w:type="dxa"/>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93</w:t>
            </w:r>
          </w:p>
        </w:tc>
        <w:tc>
          <w:tcPr>
            <w:tcW w:w="5490" w:type="dxa"/>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3,0%</w:t>
            </w:r>
          </w:p>
        </w:tc>
      </w:tr>
      <w:tr w:rsidR="00845A01" w:rsidRPr="00BE2B92" w:rsidTr="00845A01">
        <w:tc>
          <w:tcPr>
            <w:tcW w:w="1238" w:type="dxa"/>
          </w:tcPr>
          <w:p w:rsidR="00845A01" w:rsidRPr="00BE2B92" w:rsidRDefault="00845A01" w:rsidP="00EE7D06">
            <w:pPr>
              <w:tabs>
                <w:tab w:val="left" w:pos="1134"/>
              </w:tabs>
              <w:ind w:firstLine="22"/>
              <w:jc w:val="both"/>
              <w:rPr>
                <w:rFonts w:ascii="Times New Roman" w:eastAsia="Calibri" w:hAnsi="Times New Roman" w:cs="Times New Roman"/>
                <w:sz w:val="24"/>
                <w:szCs w:val="24"/>
              </w:rPr>
            </w:pPr>
            <w:r w:rsidRPr="00BE2B92">
              <w:rPr>
                <w:rFonts w:ascii="Times New Roman" w:eastAsia="Calibri" w:hAnsi="Times New Roman" w:cs="Times New Roman"/>
                <w:sz w:val="24"/>
                <w:szCs w:val="24"/>
              </w:rPr>
              <w:t>2020</w:t>
            </w:r>
          </w:p>
        </w:tc>
        <w:tc>
          <w:tcPr>
            <w:tcW w:w="1354" w:type="dxa"/>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2 910</w:t>
            </w:r>
          </w:p>
        </w:tc>
        <w:tc>
          <w:tcPr>
            <w:tcW w:w="1552" w:type="dxa"/>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91</w:t>
            </w:r>
          </w:p>
        </w:tc>
        <w:tc>
          <w:tcPr>
            <w:tcW w:w="5490" w:type="dxa"/>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3,1%</w:t>
            </w:r>
          </w:p>
        </w:tc>
      </w:tr>
      <w:tr w:rsidR="00845A01" w:rsidRPr="00BE2B92" w:rsidTr="00845A01">
        <w:tc>
          <w:tcPr>
            <w:tcW w:w="1238" w:type="dxa"/>
          </w:tcPr>
          <w:p w:rsidR="00845A01" w:rsidRPr="00BE2B92" w:rsidRDefault="00845A01" w:rsidP="00EE7D06">
            <w:pPr>
              <w:tabs>
                <w:tab w:val="left" w:pos="1134"/>
              </w:tabs>
              <w:ind w:firstLine="22"/>
              <w:jc w:val="both"/>
              <w:rPr>
                <w:rFonts w:ascii="Times New Roman" w:eastAsia="Calibri" w:hAnsi="Times New Roman" w:cs="Times New Roman"/>
                <w:sz w:val="24"/>
                <w:szCs w:val="24"/>
              </w:rPr>
            </w:pPr>
            <w:r w:rsidRPr="00BE2B92">
              <w:rPr>
                <w:rFonts w:ascii="Times New Roman" w:eastAsia="Calibri" w:hAnsi="Times New Roman" w:cs="Times New Roman"/>
                <w:sz w:val="24"/>
                <w:szCs w:val="24"/>
              </w:rPr>
              <w:t>+,-</w:t>
            </w:r>
          </w:p>
        </w:tc>
        <w:tc>
          <w:tcPr>
            <w:tcW w:w="1354" w:type="dxa"/>
            <w:tcBorders>
              <w:top w:val="nil"/>
              <w:left w:val="nil"/>
              <w:bottom w:val="single" w:sz="8" w:space="0" w:color="auto"/>
              <w:right w:val="single" w:sz="8" w:space="0" w:color="auto"/>
            </w:tcBorders>
            <w:shd w:val="clear" w:color="auto" w:fill="auto"/>
            <w:vAlign w:val="center"/>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-173</w:t>
            </w:r>
          </w:p>
        </w:tc>
        <w:tc>
          <w:tcPr>
            <w:tcW w:w="1552" w:type="dxa"/>
            <w:tcBorders>
              <w:top w:val="nil"/>
              <w:left w:val="nil"/>
              <w:bottom w:val="single" w:sz="8" w:space="0" w:color="auto"/>
              <w:right w:val="single" w:sz="8" w:space="0" w:color="auto"/>
            </w:tcBorders>
            <w:shd w:val="clear" w:color="auto" w:fill="auto"/>
            <w:vAlign w:val="center"/>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-2</w:t>
            </w:r>
          </w:p>
        </w:tc>
        <w:tc>
          <w:tcPr>
            <w:tcW w:w="5490" w:type="dxa"/>
            <w:tcBorders>
              <w:top w:val="nil"/>
              <w:left w:val="nil"/>
              <w:bottom w:val="single" w:sz="8" w:space="0" w:color="auto"/>
              <w:right w:val="single" w:sz="8" w:space="0" w:color="auto"/>
            </w:tcBorders>
            <w:shd w:val="clear" w:color="auto" w:fill="auto"/>
            <w:vAlign w:val="center"/>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0</w:t>
            </w:r>
          </w:p>
        </w:tc>
      </w:tr>
      <w:tr w:rsidR="00845A01" w:rsidRPr="00BE2B92" w:rsidTr="00845A01">
        <w:tc>
          <w:tcPr>
            <w:tcW w:w="1238" w:type="dxa"/>
          </w:tcPr>
          <w:p w:rsidR="00845A01" w:rsidRPr="00BE2B92" w:rsidRDefault="00845A01" w:rsidP="00EE7D06">
            <w:pPr>
              <w:tabs>
                <w:tab w:val="left" w:pos="1134"/>
              </w:tabs>
              <w:ind w:firstLine="22"/>
              <w:jc w:val="both"/>
              <w:rPr>
                <w:rFonts w:ascii="Times New Roman" w:eastAsia="Calibri" w:hAnsi="Times New Roman" w:cs="Times New Roman"/>
                <w:sz w:val="24"/>
                <w:szCs w:val="24"/>
              </w:rPr>
            </w:pPr>
            <w:r w:rsidRPr="00BE2B92">
              <w:rPr>
                <w:rFonts w:ascii="Times New Roman" w:eastAsia="Calibri" w:hAnsi="Times New Roman" w:cs="Times New Roman"/>
                <w:sz w:val="24"/>
                <w:szCs w:val="24"/>
              </w:rPr>
              <w:t>%</w:t>
            </w:r>
          </w:p>
        </w:tc>
        <w:tc>
          <w:tcPr>
            <w:tcW w:w="1354" w:type="dxa"/>
            <w:tcBorders>
              <w:top w:val="nil"/>
              <w:left w:val="nil"/>
              <w:bottom w:val="single" w:sz="8" w:space="0" w:color="auto"/>
              <w:right w:val="single" w:sz="8" w:space="0" w:color="auto"/>
            </w:tcBorders>
            <w:shd w:val="clear" w:color="auto" w:fill="auto"/>
            <w:vAlign w:val="center"/>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-5,61</w:t>
            </w:r>
          </w:p>
        </w:tc>
        <w:tc>
          <w:tcPr>
            <w:tcW w:w="1552" w:type="dxa"/>
            <w:tcBorders>
              <w:top w:val="nil"/>
              <w:left w:val="nil"/>
              <w:bottom w:val="single" w:sz="8" w:space="0" w:color="auto"/>
              <w:right w:val="single" w:sz="8" w:space="0" w:color="auto"/>
            </w:tcBorders>
            <w:shd w:val="clear" w:color="auto" w:fill="auto"/>
            <w:vAlign w:val="center"/>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-2,15</w:t>
            </w:r>
          </w:p>
        </w:tc>
        <w:tc>
          <w:tcPr>
            <w:tcW w:w="5490" w:type="dxa"/>
            <w:tcBorders>
              <w:top w:val="nil"/>
              <w:left w:val="nil"/>
              <w:bottom w:val="single" w:sz="8" w:space="0" w:color="auto"/>
              <w:right w:val="single" w:sz="8" w:space="0" w:color="auto"/>
            </w:tcBorders>
            <w:shd w:val="clear" w:color="auto" w:fill="auto"/>
            <w:vAlign w:val="center"/>
          </w:tcPr>
          <w:p w:rsidR="00845A01" w:rsidRPr="00BE2B92" w:rsidRDefault="00845A01" w:rsidP="00EE7D06">
            <w:pPr>
              <w:tabs>
                <w:tab w:val="left" w:pos="1134"/>
              </w:tabs>
              <w:ind w:firstLine="22"/>
              <w:jc w:val="center"/>
              <w:rPr>
                <w:rFonts w:ascii="Times New Roman" w:eastAsia="Calibri" w:hAnsi="Times New Roman" w:cs="Times New Roman"/>
                <w:sz w:val="24"/>
                <w:szCs w:val="24"/>
              </w:rPr>
            </w:pPr>
            <w:r w:rsidRPr="00BE2B92">
              <w:rPr>
                <w:rFonts w:ascii="Times New Roman" w:eastAsia="Calibri" w:hAnsi="Times New Roman" w:cs="Times New Roman"/>
                <w:sz w:val="24"/>
                <w:szCs w:val="24"/>
              </w:rPr>
              <w:t>3,33</w:t>
            </w:r>
          </w:p>
        </w:tc>
      </w:tr>
    </w:tbl>
    <w:p w:rsidR="00845A01" w:rsidRPr="00BE2B92" w:rsidRDefault="00845A01" w:rsidP="00845A01">
      <w:pPr>
        <w:spacing w:after="0" w:line="240" w:lineRule="auto"/>
        <w:ind w:right="-6" w:firstLine="709"/>
        <w:jc w:val="both"/>
        <w:rPr>
          <w:rFonts w:ascii="Times New Roman" w:eastAsia="Calibri" w:hAnsi="Times New Roman" w:cs="Times New Roman"/>
          <w:i/>
          <w:lang w:val="bg-BG"/>
        </w:rPr>
      </w:pPr>
      <w:r w:rsidRPr="00BE2B92">
        <w:rPr>
          <w:rFonts w:ascii="Times New Roman" w:eastAsia="Calibri" w:hAnsi="Times New Roman" w:cs="Times New Roman"/>
          <w:i/>
          <w:lang w:val="bg-BG"/>
        </w:rPr>
        <w:t xml:space="preserve">Графика № </w:t>
      </w:r>
      <w:r w:rsidR="003767E2">
        <w:rPr>
          <w:rFonts w:ascii="Times New Roman" w:eastAsia="Calibri" w:hAnsi="Times New Roman" w:cs="Times New Roman"/>
          <w:i/>
          <w:lang w:val="bg-BG"/>
        </w:rPr>
        <w:t>3.</w:t>
      </w:r>
      <w:r w:rsidRPr="00BE2B92">
        <w:rPr>
          <w:rFonts w:ascii="Times New Roman" w:eastAsia="Calibri" w:hAnsi="Times New Roman" w:cs="Times New Roman"/>
          <w:i/>
          <w:lang w:val="bg-BG"/>
        </w:rPr>
        <w:t xml:space="preserve"> Таблица, сочеща динамиката на развитие на земеделските стопанства  в община Кайнарджа по данни на Областна дирекция „Земеделие“ гр. Силистра в 2016-2020 г.</w:t>
      </w:r>
    </w:p>
    <w:p w:rsidR="00845A01" w:rsidRPr="00BE2B92" w:rsidRDefault="00845A01" w:rsidP="00845A01">
      <w:pPr>
        <w:spacing w:after="0" w:line="240" w:lineRule="auto"/>
        <w:ind w:right="-6" w:firstLine="709"/>
        <w:jc w:val="both"/>
        <w:rPr>
          <w:rFonts w:ascii="Times New Roman" w:eastAsia="Calibri" w:hAnsi="Times New Roman" w:cs="Times New Roman"/>
          <w:sz w:val="28"/>
          <w:szCs w:val="28"/>
          <w:lang w:val="bg-BG"/>
        </w:rPr>
      </w:pPr>
    </w:p>
    <w:p w:rsidR="00845A01" w:rsidRPr="00BE2B92" w:rsidRDefault="00845A01" w:rsidP="005C42AE">
      <w:pPr>
        <w:widowControl w:val="0"/>
        <w:autoSpaceDE w:val="0"/>
        <w:autoSpaceDN w:val="0"/>
        <w:spacing w:after="0" w:line="360" w:lineRule="auto"/>
        <w:ind w:firstLine="720"/>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Данните в таблицата показват тенденция към намаляване броя на земеделските стопанства както в областта, така и в община Кайнарджа. Вероятна причина  за това е окрупняване на стопанствата. </w:t>
      </w:r>
    </w:p>
    <w:p w:rsidR="00845A01" w:rsidRPr="00BE2B92" w:rsidRDefault="00845A01" w:rsidP="005C42AE">
      <w:pPr>
        <w:widowControl w:val="0"/>
        <w:autoSpaceDE w:val="0"/>
        <w:autoSpaceDN w:val="0"/>
        <w:spacing w:after="0" w:line="360" w:lineRule="auto"/>
        <w:ind w:firstLine="720"/>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От всички земеделски стопанства в общината, смесените стопанства, т.е. тези, в които се отглеждат както растениевъдни култури, така и животни, се движат между 27 и 34 %, като за наблюдавания период процентното съотношение е: 2016 г. – 34; 2017-27; 2018 г.-27; 2019 г.-31 и 2020 г. – отново 34 % от общия брой стопанства са смесени. </w:t>
      </w:r>
    </w:p>
    <w:p w:rsidR="00845A01" w:rsidRPr="00BE2B92" w:rsidRDefault="00845A01" w:rsidP="005C42AE">
      <w:pPr>
        <w:widowControl w:val="0"/>
        <w:autoSpaceDE w:val="0"/>
        <w:autoSpaceDN w:val="0"/>
        <w:spacing w:after="0" w:line="360" w:lineRule="auto"/>
        <w:ind w:firstLine="720"/>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Отново по данни от регистрите на ОД „Земеделие“ гр. Силистра, броят на стопанствата, в които се отглеждат само животни на територията на община Кайнарджа намалява от 2017 година до сега, но се запазва като цяло на 55 % от общия брой на стопанствата в общината, т.е. животновъдните стопанства като брой са повече, но основно поради ниската степен на механизиране на процесите в тях и нуждата от квалифицирана работна ръка, тенденцията за намаляване дела на животновъдния сектор е трайна за последните 4 години. </w:t>
      </w:r>
    </w:p>
    <w:p w:rsidR="00845A01" w:rsidRPr="00BE2B92" w:rsidRDefault="00845A01" w:rsidP="005C42AE">
      <w:pPr>
        <w:widowControl w:val="0"/>
        <w:autoSpaceDE w:val="0"/>
        <w:autoSpaceDN w:val="0"/>
        <w:spacing w:after="0" w:line="360" w:lineRule="auto"/>
        <w:ind w:firstLine="720"/>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Съпоставяйки информацията от Българска агенция по безопасност на храните /БАБХ/ - регистри на животновъдни обекти по видове животни, отглеждани в тях и информацията от ОД „Земеделие“, гр. Силистра – от регистър на земеделските стопани, поддържащи регистрация по Наредба № 3 за създаване и поддържане регистър на земеделските стопани констатираме, че броят на стопанствата, в които се отглеждат само едри преживни животни </w:t>
      </w:r>
      <w:r w:rsidRPr="00BE2B92">
        <w:rPr>
          <w:rFonts w:ascii="Times New Roman" w:eastAsia="Calibri" w:hAnsi="Times New Roman" w:cs="Times New Roman"/>
          <w:sz w:val="28"/>
          <w:szCs w:val="28"/>
          <w:lang w:val="bg-BG"/>
        </w:rPr>
        <w:lastRenderedPageBreak/>
        <w:t xml:space="preserve">/говеда и биволи/ за периода 2016-2020 г. е намалял наполовина. </w:t>
      </w:r>
    </w:p>
    <w:p w:rsidR="00845A01" w:rsidRPr="00BE2B92" w:rsidRDefault="00845A01" w:rsidP="005C42AE">
      <w:pPr>
        <w:widowControl w:val="0"/>
        <w:autoSpaceDE w:val="0"/>
        <w:autoSpaceDN w:val="0"/>
        <w:spacing w:after="0" w:line="360" w:lineRule="auto"/>
        <w:ind w:firstLine="720"/>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Относително постоянен е броят на стопанствата, в които се отглеждат едри преживни животни – говеда и някой от видовете дребни преживни животни: кози или овце. С около 40 % е намалял и броят на стопанствата, където се отглеждат овце или кози. Като цяло, обаче трябва да се отбележи, че към края на 2020 г. животновъдните обекти, в които се развъждат и отглеждат дребни преживни животни имат по-голям капацитет в сравнение с животновъдните обекти за отглеждане на говеда или биволи. От тази информация може да се заключи, че в община Кайнарджа се отглеждат повече овце и кози, който подотрасъл е изключително трудоемък, а за да бъде доходоносен изисква квалифицирана работна ръка и инвестиции, които в сравнение с едрите преживни животни са по-ниски като размер. Селата, в които са регистрирани повече от 40 животновъдни обекта са: Кайнарджа, Голеш и Зарник. </w:t>
      </w:r>
    </w:p>
    <w:p w:rsidR="00845A01" w:rsidRPr="00BE2B92" w:rsidRDefault="00845A01" w:rsidP="005C42AE">
      <w:pPr>
        <w:widowControl w:val="0"/>
        <w:autoSpaceDE w:val="0"/>
        <w:autoSpaceDN w:val="0"/>
        <w:spacing w:after="0" w:line="360" w:lineRule="auto"/>
        <w:ind w:firstLine="720"/>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Към 31 май 2021 година, броят на животните по видове в община Кайнарджа е следният: говеда – 1 871 броя, биволи – 25 броя, овце -3 322 броя, кози – 3 399 броя, еднокопитни /коне, магарета, катъри/ - 75 броя и пчелни семейства – 6 023 броя. Свине и птици, отглеждани в животновъдни обекти, регистрирани по реда на член 137 от Закона за ветеринарномедицинската дейности – няма. </w:t>
      </w:r>
    </w:p>
    <w:p w:rsidR="00845A01" w:rsidRPr="00BE2B92" w:rsidRDefault="00845A01" w:rsidP="005C42AE">
      <w:pPr>
        <w:widowControl w:val="0"/>
        <w:autoSpaceDE w:val="0"/>
        <w:autoSpaceDN w:val="0"/>
        <w:spacing w:after="0" w:line="360" w:lineRule="auto"/>
        <w:ind w:firstLine="720"/>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Пчеларите, които са устроили пчелини на територията на община Кайнарджа са регистрирали  към 3.6.2021 г. по данни на БАБХ - 74 животновъдни обекта за отглеждане на пчели. По данни на ОД „Земеделие“ само 12 от тези пчелари са регистрирани като земеделски стопани през 2020 г. </w:t>
      </w:r>
    </w:p>
    <w:p w:rsidR="0066729E" w:rsidRPr="00BE2B92" w:rsidRDefault="0066729E" w:rsidP="005C42AE">
      <w:pPr>
        <w:spacing w:after="0" w:line="360" w:lineRule="auto"/>
        <w:ind w:firstLine="720"/>
        <w:jc w:val="both"/>
        <w:rPr>
          <w:lang w:val="bg-BG"/>
        </w:rPr>
      </w:pPr>
    </w:p>
    <w:p w:rsidR="005D0C17" w:rsidRPr="00BE2B92" w:rsidRDefault="00B93882" w:rsidP="005C42AE">
      <w:pPr>
        <w:pStyle w:val="10"/>
        <w:spacing w:before="0" w:line="360" w:lineRule="auto"/>
        <w:ind w:firstLine="720"/>
        <w:jc w:val="both"/>
        <w:rPr>
          <w:rFonts w:ascii="Times New Roman" w:hAnsi="Times New Roman" w:cs="Times New Roman"/>
          <w:b/>
          <w:color w:val="auto"/>
          <w:sz w:val="28"/>
          <w:szCs w:val="28"/>
          <w:lang w:val="bg-BG"/>
        </w:rPr>
      </w:pPr>
      <w:bookmarkStart w:id="19" w:name="_Toc96591550"/>
      <w:bookmarkStart w:id="20" w:name="_Toc96613181"/>
      <w:r>
        <w:rPr>
          <w:rFonts w:ascii="Times New Roman" w:hAnsi="Times New Roman" w:cs="Times New Roman"/>
          <w:b/>
          <w:color w:val="auto"/>
          <w:sz w:val="28"/>
          <w:szCs w:val="28"/>
          <w:lang w:val="bg-BG"/>
        </w:rPr>
        <w:lastRenderedPageBreak/>
        <w:t>5.7.</w:t>
      </w:r>
      <w:r w:rsidR="005D0C17" w:rsidRPr="00BE2B92">
        <w:rPr>
          <w:rFonts w:ascii="Times New Roman" w:hAnsi="Times New Roman" w:cs="Times New Roman"/>
          <w:b/>
          <w:color w:val="auto"/>
          <w:sz w:val="28"/>
          <w:szCs w:val="28"/>
          <w:lang w:val="bg-BG"/>
        </w:rPr>
        <w:t xml:space="preserve"> Външна осветителна уредба</w:t>
      </w:r>
      <w:bookmarkEnd w:id="19"/>
      <w:bookmarkEnd w:id="20"/>
      <w:r w:rsidR="005D0C17" w:rsidRPr="00BE2B92">
        <w:rPr>
          <w:rFonts w:ascii="Times New Roman" w:hAnsi="Times New Roman" w:cs="Times New Roman"/>
          <w:b/>
          <w:color w:val="auto"/>
          <w:sz w:val="28"/>
          <w:szCs w:val="28"/>
          <w:lang w:val="bg-BG"/>
        </w:rPr>
        <w:t xml:space="preserve"> </w:t>
      </w:r>
    </w:p>
    <w:p w:rsidR="005C42AE" w:rsidRPr="00BE2B92" w:rsidRDefault="005C42AE" w:rsidP="005C42AE">
      <w:pPr>
        <w:pStyle w:val="ac"/>
        <w:spacing w:line="360" w:lineRule="auto"/>
        <w:ind w:firstLine="720"/>
        <w:jc w:val="both"/>
        <w:rPr>
          <w:rFonts w:ascii="Times New Roman" w:hAnsi="Times New Roman" w:cs="Times New Roman"/>
          <w:sz w:val="28"/>
          <w:szCs w:val="28"/>
          <w:lang w:eastAsia="bg-BG"/>
        </w:rPr>
      </w:pPr>
      <w:r w:rsidRPr="00BE2B92">
        <w:rPr>
          <w:rFonts w:ascii="Times New Roman" w:hAnsi="Times New Roman" w:cs="Times New Roman"/>
          <w:sz w:val="28"/>
          <w:szCs w:val="28"/>
          <w:lang w:eastAsia="bg-BG"/>
        </w:rPr>
        <w:t xml:space="preserve">Уличното осветление в община Кайнарджа се състои в едната си част от конвенционално улично осветление с близо 500 броя лампи и друга с 486 соларни модула, изградени по проект финансиран от Програма Развитие на селските райони с близо 2 </w:t>
      </w:r>
      <w:r w:rsidR="009726B6">
        <w:rPr>
          <w:rFonts w:ascii="Times New Roman" w:hAnsi="Times New Roman" w:cs="Times New Roman"/>
          <w:sz w:val="28"/>
          <w:szCs w:val="28"/>
          <w:lang w:eastAsia="bg-BG"/>
        </w:rPr>
        <w:t xml:space="preserve">млн. лв. Лампите се захранват </w:t>
      </w:r>
      <w:r w:rsidRPr="00BE2B92">
        <w:rPr>
          <w:rFonts w:ascii="Times New Roman" w:hAnsi="Times New Roman" w:cs="Times New Roman"/>
          <w:sz w:val="28"/>
          <w:szCs w:val="28"/>
          <w:lang w:eastAsia="bg-BG"/>
        </w:rPr>
        <w:t xml:space="preserve">с енергия от слънцето и светят нощем в 9 от 15-те села, като соларните батерии се зареждат и в облачно време. Изчисленията сочат, че дори и при тежки зимни условия, лампите би трябвало да светят по 14 часа на денонощие в продължение на 2 седмици, без да се зареждат. </w:t>
      </w:r>
    </w:p>
    <w:p w:rsidR="005C42AE" w:rsidRPr="00BE2B92" w:rsidRDefault="005C42AE" w:rsidP="005C42AE">
      <w:pPr>
        <w:pStyle w:val="ac"/>
        <w:spacing w:line="360" w:lineRule="auto"/>
        <w:ind w:firstLine="720"/>
        <w:jc w:val="both"/>
        <w:rPr>
          <w:rFonts w:ascii="Times New Roman" w:hAnsi="Times New Roman" w:cs="Times New Roman"/>
          <w:sz w:val="28"/>
          <w:szCs w:val="28"/>
          <w:lang w:eastAsia="bg-BG"/>
        </w:rPr>
      </w:pPr>
      <w:r w:rsidRPr="00BE2B92">
        <w:rPr>
          <w:rFonts w:ascii="Times New Roman" w:hAnsi="Times New Roman" w:cs="Times New Roman"/>
          <w:sz w:val="28"/>
          <w:szCs w:val="28"/>
          <w:lang w:eastAsia="bg-BG"/>
        </w:rPr>
        <w:t>Така от 2013 година до момента, в община Кайнарджа половината от уличното осветление е захранено от слънчева енергия и е безплатно, а за останалата част се захранва по традиционния начин и разходите се заплащат със средства от собствения бюджет на общината.  От 2007 година в цялата община са закупени и подменени осветителните тела с лед-лампи за конвенционалните мрежи от уличното осветление, с което и тук се повишава енергийната ефективност на цялата система за улично осветление..</w:t>
      </w:r>
    </w:p>
    <w:p w:rsidR="005C42AE" w:rsidRPr="00BE2B92" w:rsidRDefault="005C42AE" w:rsidP="005C42AE">
      <w:pPr>
        <w:pStyle w:val="ac"/>
        <w:spacing w:line="360" w:lineRule="auto"/>
        <w:ind w:firstLine="720"/>
        <w:jc w:val="both"/>
        <w:rPr>
          <w:rFonts w:ascii="Times New Roman" w:hAnsi="Times New Roman" w:cs="Times New Roman"/>
          <w:sz w:val="28"/>
          <w:szCs w:val="28"/>
          <w:lang w:eastAsia="bg-BG"/>
        </w:rPr>
      </w:pPr>
      <w:r w:rsidRPr="00BE2B92">
        <w:rPr>
          <w:rFonts w:ascii="Times New Roman" w:hAnsi="Times New Roman" w:cs="Times New Roman"/>
          <w:sz w:val="28"/>
          <w:szCs w:val="28"/>
          <w:lang w:eastAsia="bg-BG"/>
        </w:rPr>
        <w:t>В парковете и на някои места в с. Кайнарджа,, а  и в останалите села на общината, все още уличното осветление е недостатъчно. Има нужда от изграждане на още осветителни модули.</w:t>
      </w:r>
    </w:p>
    <w:p w:rsidR="0066729E" w:rsidRPr="00BE2B92" w:rsidRDefault="0066729E" w:rsidP="005C42AE">
      <w:pPr>
        <w:rPr>
          <w:lang w:val="bg-BG"/>
        </w:rPr>
      </w:pPr>
    </w:p>
    <w:p w:rsidR="004616D8" w:rsidRPr="009726B6" w:rsidRDefault="005D0C17" w:rsidP="005D0C17">
      <w:pPr>
        <w:pStyle w:val="10"/>
        <w:spacing w:before="0" w:line="360" w:lineRule="auto"/>
        <w:ind w:firstLine="720"/>
        <w:jc w:val="both"/>
        <w:rPr>
          <w:rFonts w:ascii="Times New Roman" w:hAnsi="Times New Roman" w:cs="Times New Roman"/>
          <w:b/>
          <w:color w:val="FF0000"/>
          <w:sz w:val="28"/>
          <w:szCs w:val="28"/>
          <w:lang w:val="bg-BG"/>
        </w:rPr>
      </w:pPr>
      <w:bookmarkStart w:id="21" w:name="_Toc96613182"/>
      <w:r w:rsidRPr="00BE2B92">
        <w:rPr>
          <w:rFonts w:ascii="Times New Roman" w:hAnsi="Times New Roman" w:cs="Times New Roman"/>
          <w:b/>
          <w:color w:val="auto"/>
          <w:sz w:val="28"/>
          <w:szCs w:val="28"/>
          <w:lang w:val="bg-BG"/>
        </w:rPr>
        <w:t xml:space="preserve">6. </w:t>
      </w:r>
      <w:r w:rsidRPr="00A57010">
        <w:rPr>
          <w:rFonts w:ascii="Times New Roman" w:hAnsi="Times New Roman" w:cs="Times New Roman"/>
          <w:b/>
          <w:color w:val="000000" w:themeColor="text1"/>
          <w:sz w:val="28"/>
          <w:szCs w:val="28"/>
          <w:lang w:val="bg-BG"/>
        </w:rPr>
        <w:t>ВЪЗМОЖНОСТИ ЗА НАСЪРЧАВАНЕ ИЗПОЛЗВАНЕТО НА ЕНЕРГИЯ ОТ ВЪЗОБНОВЯЕМИ ИЗТОЧНИЦИ И БИОГОРИВА. ВРЪЗКИ С ДРУГИ ПРОГРАМИ</w:t>
      </w:r>
      <w:bookmarkEnd w:id="21"/>
      <w:r w:rsidRPr="009726B6">
        <w:rPr>
          <w:rFonts w:ascii="Times New Roman" w:hAnsi="Times New Roman" w:cs="Times New Roman"/>
          <w:b/>
          <w:color w:val="FF0000"/>
          <w:sz w:val="28"/>
          <w:szCs w:val="28"/>
          <w:lang w:val="bg-BG"/>
        </w:rPr>
        <w:t xml:space="preserve"> </w:t>
      </w:r>
    </w:p>
    <w:p w:rsidR="001E2DDD" w:rsidRPr="00BE2B92" w:rsidRDefault="005C42AE" w:rsidP="001E2DDD">
      <w:pPr>
        <w:spacing w:after="0" w:line="360" w:lineRule="auto"/>
        <w:ind w:firstLine="720"/>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Възобновяемите източници на енергия – вятърна енергия, слънчева енергия, хидроелектрическа енергия и биомасата – са алтернатива на изчерпаемите източници на горива. Въвеждането и използването на възобновяемите източници не само подпомага намаляването на емисиите </w:t>
      </w:r>
      <w:r w:rsidRPr="00BE2B92">
        <w:rPr>
          <w:rFonts w:ascii="Times New Roman" w:eastAsia="Calibri" w:hAnsi="Times New Roman" w:cs="Times New Roman"/>
          <w:sz w:val="28"/>
          <w:szCs w:val="28"/>
          <w:lang w:val="bg-BG"/>
        </w:rPr>
        <w:lastRenderedPageBreak/>
        <w:t>парникови газове от добива на енергия и нейното потребление, но също така способства за намаляване на енергийната зависимост</w:t>
      </w:r>
    </w:p>
    <w:p w:rsidR="001E2DDD" w:rsidRPr="00B93882" w:rsidRDefault="001E2DDD" w:rsidP="00B93882">
      <w:pPr>
        <w:pStyle w:val="10"/>
        <w:spacing w:before="0" w:line="360" w:lineRule="auto"/>
        <w:ind w:firstLine="720"/>
        <w:jc w:val="both"/>
        <w:rPr>
          <w:rFonts w:ascii="Times New Roman" w:hAnsi="Times New Roman" w:cs="Times New Roman"/>
          <w:b/>
          <w:color w:val="auto"/>
          <w:sz w:val="28"/>
          <w:szCs w:val="28"/>
          <w:lang w:val="bg-BG"/>
        </w:rPr>
      </w:pPr>
    </w:p>
    <w:p w:rsidR="005D0C17" w:rsidRPr="00B93882" w:rsidRDefault="005D0C17" w:rsidP="00B93882">
      <w:pPr>
        <w:pStyle w:val="10"/>
        <w:spacing w:before="0" w:line="360" w:lineRule="auto"/>
        <w:ind w:firstLine="720"/>
        <w:jc w:val="both"/>
        <w:rPr>
          <w:rFonts w:ascii="Times New Roman" w:hAnsi="Times New Roman" w:cs="Times New Roman"/>
          <w:b/>
          <w:color w:val="auto"/>
          <w:sz w:val="28"/>
          <w:szCs w:val="28"/>
          <w:lang w:val="bg-BG"/>
        </w:rPr>
      </w:pPr>
      <w:bookmarkStart w:id="22" w:name="_Toc96613183"/>
      <w:r w:rsidRPr="00B93882">
        <w:rPr>
          <w:rFonts w:ascii="Times New Roman" w:hAnsi="Times New Roman" w:cs="Times New Roman"/>
          <w:b/>
          <w:color w:val="auto"/>
          <w:sz w:val="28"/>
          <w:szCs w:val="28"/>
          <w:lang w:val="bg-BG"/>
        </w:rPr>
        <w:t>7. ОПРЕДЕЛЯНЕ НА ПОТЕНЦИАЛА И ВЪЗМОЖНОСТИТЕ ЗА ИЗПОЛЗВАНЕ НА ЕНЕРГИЯ ОТ ВЪЗОБНОВЯЕМИ ИЗТОЧНИЦИ И БИОГОРИВА ПО ВИДОВЕ РЕСУРСИ</w:t>
      </w:r>
      <w:bookmarkEnd w:id="22"/>
      <w:r w:rsidRPr="00B93882">
        <w:rPr>
          <w:rFonts w:ascii="Times New Roman" w:hAnsi="Times New Roman" w:cs="Times New Roman"/>
          <w:b/>
          <w:color w:val="auto"/>
          <w:sz w:val="28"/>
          <w:szCs w:val="28"/>
          <w:lang w:val="bg-BG"/>
        </w:rPr>
        <w:t xml:space="preserve"> </w:t>
      </w:r>
    </w:p>
    <w:p w:rsidR="001536DC" w:rsidRPr="00BE2B92" w:rsidRDefault="001536DC" w:rsidP="001536DC">
      <w:pPr>
        <w:rPr>
          <w:lang w:val="bg-BG"/>
        </w:rPr>
      </w:pPr>
    </w:p>
    <w:p w:rsidR="004616D8" w:rsidRPr="00BE2B92" w:rsidRDefault="004616D8" w:rsidP="001536DC">
      <w:pPr>
        <w:spacing w:after="0" w:line="360" w:lineRule="auto"/>
        <w:ind w:firstLine="720"/>
        <w:jc w:val="both"/>
        <w:rPr>
          <w:lang w:val="bg-BG"/>
        </w:rPr>
      </w:pPr>
      <w:r w:rsidRPr="00BE2B92">
        <w:rPr>
          <w:rFonts w:ascii="Times New Roman" w:eastAsia="Calibri" w:hAnsi="Times New Roman" w:cs="Times New Roman"/>
          <w:sz w:val="28"/>
          <w:szCs w:val="28"/>
          <w:lang w:val="bg-BG"/>
        </w:rPr>
        <w:t>Според климатичното райониране на Република България територията на община Кайнарджа спада към европейско континенталната климатична област, подобласт - умерено континентална, район северно добруджански. Микрорайонът е със силно изразен континентален климат – студена зима и горещо лято, като съществено влияние върху влажността на въздуха оказва и басейнът на р. Дунав, отстоящ на 20 –30 км. Отсъствието на планини осигурява свободен достъп на въздушни маси с различна температура и влажност, което довежда до много резки промени в климатичните фактори</w:t>
      </w:r>
    </w:p>
    <w:p w:rsidR="005D0C17" w:rsidRPr="00BE2B92" w:rsidRDefault="00B93882" w:rsidP="001536DC">
      <w:pPr>
        <w:pStyle w:val="10"/>
        <w:spacing w:before="0" w:line="360" w:lineRule="auto"/>
        <w:ind w:firstLine="720"/>
        <w:jc w:val="both"/>
        <w:rPr>
          <w:rFonts w:ascii="Times New Roman" w:hAnsi="Times New Roman" w:cs="Times New Roman"/>
          <w:b/>
          <w:color w:val="auto"/>
          <w:sz w:val="28"/>
          <w:szCs w:val="28"/>
          <w:lang w:val="bg-BG"/>
        </w:rPr>
      </w:pPr>
      <w:bookmarkStart w:id="23" w:name="_Toc96613184"/>
      <w:r>
        <w:rPr>
          <w:rFonts w:ascii="Times New Roman" w:hAnsi="Times New Roman" w:cs="Times New Roman"/>
          <w:b/>
          <w:color w:val="auto"/>
          <w:sz w:val="28"/>
          <w:szCs w:val="28"/>
          <w:lang w:val="bg-BG"/>
        </w:rPr>
        <w:t xml:space="preserve">7.1 </w:t>
      </w:r>
      <w:r w:rsidR="004616D8" w:rsidRPr="00BE2B92">
        <w:rPr>
          <w:rFonts w:ascii="Times New Roman" w:hAnsi="Times New Roman" w:cs="Times New Roman"/>
          <w:b/>
          <w:color w:val="auto"/>
          <w:sz w:val="28"/>
          <w:szCs w:val="28"/>
          <w:lang w:val="bg-BG"/>
        </w:rPr>
        <w:t xml:space="preserve"> </w:t>
      </w:r>
      <w:r w:rsidR="005D0C17" w:rsidRPr="00BE2B92">
        <w:rPr>
          <w:rFonts w:ascii="Times New Roman" w:hAnsi="Times New Roman" w:cs="Times New Roman"/>
          <w:b/>
          <w:color w:val="auto"/>
          <w:sz w:val="28"/>
          <w:szCs w:val="28"/>
          <w:lang w:val="bg-BG"/>
        </w:rPr>
        <w:t>Слънчева енергия</w:t>
      </w:r>
      <w:bookmarkEnd w:id="23"/>
      <w:r w:rsidR="005D0C17" w:rsidRPr="00BE2B92">
        <w:rPr>
          <w:rFonts w:ascii="Times New Roman" w:hAnsi="Times New Roman" w:cs="Times New Roman"/>
          <w:b/>
          <w:color w:val="auto"/>
          <w:sz w:val="28"/>
          <w:szCs w:val="28"/>
          <w:lang w:val="bg-BG"/>
        </w:rPr>
        <w:t xml:space="preserve"> </w:t>
      </w:r>
    </w:p>
    <w:p w:rsidR="006741C9" w:rsidRPr="00BE2B92" w:rsidRDefault="006741C9" w:rsidP="001536DC">
      <w:pPr>
        <w:pStyle w:val="ac"/>
        <w:spacing w:line="360" w:lineRule="auto"/>
        <w:ind w:firstLine="720"/>
        <w:jc w:val="both"/>
        <w:rPr>
          <w:rFonts w:ascii="Times New Roman" w:hAnsi="Times New Roman" w:cs="Times New Roman"/>
          <w:sz w:val="28"/>
          <w:szCs w:val="28"/>
        </w:rPr>
      </w:pPr>
      <w:r w:rsidRPr="00BE2B92">
        <w:rPr>
          <w:rFonts w:ascii="Times New Roman" w:hAnsi="Times New Roman" w:cs="Times New Roman"/>
          <w:sz w:val="28"/>
          <w:szCs w:val="28"/>
        </w:rPr>
        <w:t xml:space="preserve">В зависимост от това, в кой регион се намира общината, се определя интензивността на слънчевото греене какво е средно-годишното количество слънчева радиация попадаща на единица хоризонтална повърхност (kWh/m2). </w:t>
      </w:r>
    </w:p>
    <w:p w:rsidR="006741C9" w:rsidRPr="00BE2B92" w:rsidRDefault="00962C82" w:rsidP="00962C82">
      <w:pPr>
        <w:pStyle w:val="ac"/>
        <w:spacing w:line="360" w:lineRule="auto"/>
        <w:ind w:firstLine="142"/>
        <w:jc w:val="both"/>
        <w:rPr>
          <w:rFonts w:ascii="Times New Roman" w:hAnsi="Times New Roman" w:cs="Times New Roman"/>
          <w:sz w:val="28"/>
          <w:szCs w:val="28"/>
        </w:rPr>
      </w:pPr>
      <w:r w:rsidRPr="00BE2B92">
        <w:rPr>
          <w:rFonts w:ascii="Times New Roman" w:hAnsi="Times New Roman" w:cs="Times New Roman"/>
          <w:noProof/>
          <w:sz w:val="28"/>
          <w:szCs w:val="28"/>
          <w:lang w:val="en-GB" w:eastAsia="en-GB"/>
        </w:rPr>
        <w:lastRenderedPageBreak/>
        <w:drawing>
          <wp:inline distT="0" distB="0" distL="0" distR="0" wp14:anchorId="1CA978A7" wp14:editId="2C866F24">
            <wp:extent cx="5972810" cy="3048000"/>
            <wp:effectExtent l="0" t="0" r="889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72810" cy="3048000"/>
                    </a:xfrm>
                    <a:prstGeom prst="rect">
                      <a:avLst/>
                    </a:prstGeom>
                  </pic:spPr>
                </pic:pic>
              </a:graphicData>
            </a:graphic>
          </wp:inline>
        </w:drawing>
      </w:r>
    </w:p>
    <w:p w:rsidR="00836267" w:rsidRPr="00761660" w:rsidRDefault="00836267" w:rsidP="00836267">
      <w:pPr>
        <w:pStyle w:val="ac"/>
        <w:spacing w:line="360" w:lineRule="auto"/>
        <w:ind w:firstLine="720"/>
        <w:jc w:val="both"/>
        <w:rPr>
          <w:rFonts w:ascii="Times New Roman" w:hAnsi="Times New Roman" w:cs="Times New Roman"/>
          <w:i/>
          <w:sz w:val="24"/>
          <w:szCs w:val="24"/>
        </w:rPr>
      </w:pPr>
      <w:r w:rsidRPr="00761660">
        <w:rPr>
          <w:rFonts w:ascii="Times New Roman" w:hAnsi="Times New Roman" w:cs="Times New Roman"/>
          <w:i/>
          <w:sz w:val="24"/>
          <w:szCs w:val="24"/>
        </w:rPr>
        <w:t>Карта на слънчевата радиация в България по региони</w:t>
      </w:r>
    </w:p>
    <w:p w:rsidR="004616D8" w:rsidRPr="00BE2B92" w:rsidRDefault="004616D8" w:rsidP="001536DC">
      <w:pPr>
        <w:pStyle w:val="ac"/>
        <w:spacing w:line="360" w:lineRule="auto"/>
        <w:ind w:firstLine="720"/>
        <w:jc w:val="both"/>
        <w:rPr>
          <w:rFonts w:ascii="Times New Roman" w:hAnsi="Times New Roman" w:cs="Times New Roman"/>
          <w:sz w:val="28"/>
          <w:szCs w:val="28"/>
        </w:rPr>
      </w:pPr>
      <w:r w:rsidRPr="00BE2B92">
        <w:rPr>
          <w:rFonts w:ascii="Times New Roman" w:hAnsi="Times New Roman" w:cs="Times New Roman"/>
          <w:sz w:val="28"/>
          <w:szCs w:val="28"/>
        </w:rPr>
        <w:t>Температурните характеристики определят района като относително студен за съответната географска ширина през зимата. Най-студеният месец  е януари със средна минимална температура (-13,8°С) и средна максимална температура +11,6°С. При изключително студени зими, които не са рядкост за района, температурите се понижават до (-35°С). Среднодневните температури на въздуха през зимата са над +5°С. Лятото е горещо и засушливо, средна температура на въздуха през месеците юни, юли и август не спада под 25,4°С средно за последните 5 години. През месец август са измерени най-високите температури за района +36,8°С и абсл. макс. температура 44,1°С. Средната годишна температура на въздуха е +11,6°С.</w:t>
      </w:r>
    </w:p>
    <w:p w:rsidR="004616D8" w:rsidRPr="00BE2B92" w:rsidRDefault="004616D8" w:rsidP="001536DC">
      <w:pPr>
        <w:pStyle w:val="ac"/>
        <w:spacing w:line="360" w:lineRule="auto"/>
        <w:ind w:firstLine="720"/>
        <w:jc w:val="both"/>
        <w:rPr>
          <w:rFonts w:ascii="Times New Roman" w:hAnsi="Times New Roman" w:cs="Times New Roman"/>
          <w:b/>
          <w:sz w:val="28"/>
          <w:szCs w:val="28"/>
        </w:rPr>
      </w:pPr>
      <w:r w:rsidRPr="00BE2B92">
        <w:rPr>
          <w:rFonts w:ascii="Times New Roman" w:hAnsi="Times New Roman" w:cs="Times New Roman"/>
          <w:b/>
          <w:sz w:val="28"/>
          <w:szCs w:val="28"/>
        </w:rPr>
        <w:t>Средномесечни температури в градуси по С</w:t>
      </w:r>
    </w:p>
    <w:p w:rsidR="004616D8" w:rsidRPr="00BE2B92" w:rsidRDefault="004616D8" w:rsidP="004616D8">
      <w:pPr>
        <w:spacing w:after="0" w:line="240" w:lineRule="auto"/>
        <w:jc w:val="both"/>
        <w:rPr>
          <w:rFonts w:ascii="Times New Roman" w:eastAsia="Calibri" w:hAnsi="Times New Roman" w:cs="Times New Roman"/>
          <w:sz w:val="28"/>
          <w:szCs w:val="28"/>
          <w:lang w:val="bg-BG"/>
        </w:rPr>
      </w:pPr>
      <w:r w:rsidRPr="00BE2B92">
        <w:rPr>
          <w:rFonts w:ascii="Times New Roman" w:hAnsi="Times New Roman" w:cs="Times New Roman"/>
          <w:noProof/>
          <w:sz w:val="28"/>
          <w:szCs w:val="28"/>
          <w:lang w:val="en-GB" w:eastAsia="en-GB"/>
        </w:rPr>
        <w:lastRenderedPageBreak/>
        <w:drawing>
          <wp:inline distT="0" distB="0" distL="0" distR="0" wp14:anchorId="3C629511" wp14:editId="2CFD709D">
            <wp:extent cx="5760085" cy="3371850"/>
            <wp:effectExtent l="0" t="0" r="0" b="0"/>
            <wp:docPr id="16" name="Диагра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616D8" w:rsidRPr="00BE2B92" w:rsidRDefault="004616D8" w:rsidP="004616D8">
      <w:pPr>
        <w:pStyle w:val="ac"/>
        <w:ind w:firstLine="708"/>
        <w:jc w:val="both"/>
        <w:rPr>
          <w:rFonts w:ascii="Times New Roman" w:hAnsi="Times New Roman" w:cs="Times New Roman"/>
          <w:i/>
        </w:rPr>
      </w:pPr>
      <w:r w:rsidRPr="00BE2B92">
        <w:rPr>
          <w:rFonts w:ascii="Times New Roman" w:hAnsi="Times New Roman" w:cs="Times New Roman"/>
          <w:i/>
        </w:rPr>
        <w:t xml:space="preserve">Графика № </w:t>
      </w:r>
      <w:r w:rsidR="003767E2">
        <w:rPr>
          <w:rFonts w:ascii="Times New Roman" w:hAnsi="Times New Roman" w:cs="Times New Roman"/>
          <w:i/>
        </w:rPr>
        <w:t>4</w:t>
      </w:r>
      <w:r w:rsidRPr="00BE2B92">
        <w:rPr>
          <w:rFonts w:ascii="Times New Roman" w:hAnsi="Times New Roman" w:cs="Times New Roman"/>
          <w:i/>
        </w:rPr>
        <w:t>. Динамика на средно месечна температура в 2020 г.</w:t>
      </w:r>
    </w:p>
    <w:p w:rsidR="004616D8" w:rsidRPr="00BE2B92" w:rsidRDefault="004616D8" w:rsidP="004616D8">
      <w:pPr>
        <w:widowControl w:val="0"/>
        <w:autoSpaceDE w:val="0"/>
        <w:autoSpaceDN w:val="0"/>
        <w:spacing w:after="0" w:line="240" w:lineRule="auto"/>
        <w:ind w:left="996"/>
        <w:jc w:val="both"/>
        <w:outlineLvl w:val="4"/>
        <w:rPr>
          <w:rFonts w:ascii="Times New Roman" w:eastAsia="Calibri" w:hAnsi="Times New Roman" w:cs="Times New Roman"/>
          <w:sz w:val="28"/>
          <w:szCs w:val="28"/>
          <w:lang w:val="bg-BG"/>
        </w:rPr>
      </w:pPr>
    </w:p>
    <w:p w:rsidR="004616D8" w:rsidRPr="00BE2B92" w:rsidRDefault="004616D8" w:rsidP="004616D8">
      <w:pPr>
        <w:widowControl w:val="0"/>
        <w:autoSpaceDE w:val="0"/>
        <w:autoSpaceDN w:val="0"/>
        <w:spacing w:after="0" w:line="240" w:lineRule="auto"/>
        <w:ind w:left="996"/>
        <w:jc w:val="both"/>
        <w:outlineLvl w:val="4"/>
        <w:rPr>
          <w:rFonts w:ascii="Times New Roman" w:eastAsia="Calibri" w:hAnsi="Times New Roman" w:cs="Times New Roman"/>
          <w:sz w:val="28"/>
          <w:szCs w:val="28"/>
          <w:lang w:val="bg-BG"/>
        </w:rPr>
      </w:pPr>
    </w:p>
    <w:p w:rsidR="004616D8" w:rsidRPr="00BE2B92" w:rsidRDefault="004616D8" w:rsidP="001536DC">
      <w:pPr>
        <w:pStyle w:val="ac"/>
        <w:spacing w:line="360" w:lineRule="auto"/>
        <w:ind w:firstLine="720"/>
        <w:jc w:val="both"/>
        <w:rPr>
          <w:rFonts w:ascii="Times New Roman" w:hAnsi="Times New Roman" w:cs="Times New Roman"/>
          <w:sz w:val="28"/>
          <w:szCs w:val="28"/>
        </w:rPr>
      </w:pPr>
      <w:r w:rsidRPr="00BE2B92">
        <w:rPr>
          <w:rFonts w:ascii="Times New Roman" w:hAnsi="Times New Roman" w:cs="Times New Roman"/>
          <w:sz w:val="28"/>
          <w:szCs w:val="28"/>
        </w:rPr>
        <w:t>Есенният сезон е кратък и хладен, обикновено продължава до към края на месец октомври, като през последните години продължава дори до средата на ноември със задържане на средната дневна температура над +5°С.</w:t>
      </w:r>
    </w:p>
    <w:p w:rsidR="004616D8" w:rsidRPr="00BE2B92" w:rsidRDefault="004616D8" w:rsidP="001536DC">
      <w:pPr>
        <w:pStyle w:val="ac"/>
        <w:spacing w:line="360" w:lineRule="auto"/>
        <w:ind w:firstLine="720"/>
        <w:jc w:val="both"/>
        <w:rPr>
          <w:rFonts w:ascii="Times New Roman" w:hAnsi="Times New Roman" w:cs="Times New Roman"/>
          <w:sz w:val="28"/>
          <w:szCs w:val="28"/>
        </w:rPr>
      </w:pPr>
      <w:r w:rsidRPr="00BE2B92">
        <w:rPr>
          <w:rFonts w:ascii="Times New Roman" w:hAnsi="Times New Roman" w:cs="Times New Roman"/>
          <w:sz w:val="28"/>
          <w:szCs w:val="28"/>
        </w:rPr>
        <w:t>Климатът е благоприятен за отглеждането на зърнени, фуражни, технически култури, на плодове и зеленчуци, както и за развитието на широколистни гори – дъб, бук, габър, акация и др.</w:t>
      </w:r>
    </w:p>
    <w:p w:rsidR="004616D8" w:rsidRPr="00BE2B92" w:rsidRDefault="004616D8" w:rsidP="001536DC">
      <w:pPr>
        <w:pStyle w:val="ac"/>
        <w:spacing w:line="360" w:lineRule="auto"/>
        <w:ind w:firstLine="720"/>
        <w:jc w:val="both"/>
        <w:rPr>
          <w:rFonts w:ascii="Times New Roman" w:hAnsi="Times New Roman" w:cs="Times New Roman"/>
          <w:sz w:val="28"/>
          <w:szCs w:val="28"/>
        </w:rPr>
      </w:pPr>
      <w:r w:rsidRPr="00BE2B92">
        <w:rPr>
          <w:rFonts w:ascii="Times New Roman" w:hAnsi="Times New Roman" w:cs="Times New Roman"/>
          <w:sz w:val="28"/>
          <w:szCs w:val="28"/>
        </w:rPr>
        <w:t>Слънчевото греене средно годишно за района е относително високо – около 2 199 часа, т.е. около 48 % от светлата част на денонощието за годината.</w:t>
      </w:r>
    </w:p>
    <w:p w:rsidR="004616D8" w:rsidRPr="00BE2B92" w:rsidRDefault="004616D8" w:rsidP="00EE7D06">
      <w:pPr>
        <w:spacing w:after="0" w:line="240" w:lineRule="auto"/>
        <w:ind w:right="-6"/>
        <w:jc w:val="center"/>
        <w:rPr>
          <w:rFonts w:ascii="Times New Roman" w:eastAsia="Calibri" w:hAnsi="Times New Roman" w:cs="Times New Roman"/>
          <w:sz w:val="28"/>
          <w:szCs w:val="28"/>
          <w:lang w:val="bg-BG"/>
        </w:rPr>
      </w:pPr>
      <w:r w:rsidRPr="00BE2B92">
        <w:rPr>
          <w:rFonts w:ascii="Times New Roman" w:eastAsia="Calibri" w:hAnsi="Times New Roman" w:cs="Times New Roman"/>
          <w:noProof/>
          <w:sz w:val="28"/>
          <w:szCs w:val="28"/>
          <w:lang w:val="en-GB" w:eastAsia="en-GB"/>
        </w:rPr>
        <w:lastRenderedPageBreak/>
        <w:drawing>
          <wp:inline distT="0" distB="0" distL="0" distR="0" wp14:anchorId="11D5FCCC" wp14:editId="594FD5B4">
            <wp:extent cx="6019800" cy="2847975"/>
            <wp:effectExtent l="0" t="0" r="0" b="9525"/>
            <wp:docPr id="5" name="Ди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616D8" w:rsidRPr="00BE2B92" w:rsidRDefault="004616D8" w:rsidP="004616D8">
      <w:pPr>
        <w:pStyle w:val="ac"/>
        <w:ind w:firstLine="708"/>
        <w:jc w:val="both"/>
        <w:rPr>
          <w:rFonts w:ascii="Times New Roman" w:hAnsi="Times New Roman" w:cs="Times New Roman"/>
          <w:sz w:val="28"/>
          <w:szCs w:val="28"/>
        </w:rPr>
      </w:pPr>
      <w:r w:rsidRPr="00BE2B92">
        <w:rPr>
          <w:rFonts w:ascii="Times New Roman" w:hAnsi="Times New Roman" w:cs="Times New Roman"/>
        </w:rPr>
        <w:t xml:space="preserve">   </w:t>
      </w:r>
      <w:r w:rsidRPr="00BE2B92">
        <w:rPr>
          <w:rFonts w:ascii="Times New Roman" w:hAnsi="Times New Roman" w:cs="Times New Roman"/>
          <w:i/>
        </w:rPr>
        <w:t>Графика № 5. Динамика на месечното разпределение на часовете слънчево греене в 2020 г</w:t>
      </w:r>
    </w:p>
    <w:p w:rsidR="004616D8" w:rsidRPr="00BE2B92" w:rsidRDefault="004616D8" w:rsidP="004616D8">
      <w:pPr>
        <w:rPr>
          <w:lang w:val="bg-BG"/>
        </w:rPr>
      </w:pPr>
    </w:p>
    <w:p w:rsidR="005D0C17" w:rsidRPr="00BE2B92" w:rsidRDefault="00B93882" w:rsidP="005D0C17">
      <w:pPr>
        <w:pStyle w:val="10"/>
        <w:spacing w:before="0" w:line="360" w:lineRule="auto"/>
        <w:ind w:firstLine="720"/>
        <w:jc w:val="both"/>
        <w:rPr>
          <w:rFonts w:ascii="Times New Roman" w:hAnsi="Times New Roman" w:cs="Times New Roman"/>
          <w:b/>
          <w:color w:val="auto"/>
          <w:sz w:val="28"/>
          <w:szCs w:val="28"/>
          <w:lang w:val="bg-BG"/>
        </w:rPr>
      </w:pPr>
      <w:bookmarkStart w:id="24" w:name="_Toc96613185"/>
      <w:r>
        <w:rPr>
          <w:rFonts w:ascii="Times New Roman" w:hAnsi="Times New Roman" w:cs="Times New Roman"/>
          <w:b/>
          <w:color w:val="auto"/>
          <w:sz w:val="28"/>
          <w:szCs w:val="28"/>
          <w:lang w:val="bg-BG"/>
        </w:rPr>
        <w:t>7.2</w:t>
      </w:r>
      <w:r w:rsidR="005D0C17" w:rsidRPr="00BE2B92">
        <w:rPr>
          <w:rFonts w:ascii="Times New Roman" w:hAnsi="Times New Roman" w:cs="Times New Roman"/>
          <w:b/>
          <w:color w:val="auto"/>
          <w:sz w:val="28"/>
          <w:szCs w:val="28"/>
          <w:lang w:val="bg-BG"/>
        </w:rPr>
        <w:t xml:space="preserve"> Вятърна енергия</w:t>
      </w:r>
      <w:bookmarkEnd w:id="24"/>
      <w:r w:rsidR="005D0C17" w:rsidRPr="00BE2B92">
        <w:rPr>
          <w:rFonts w:ascii="Times New Roman" w:hAnsi="Times New Roman" w:cs="Times New Roman"/>
          <w:b/>
          <w:color w:val="auto"/>
          <w:sz w:val="28"/>
          <w:szCs w:val="28"/>
          <w:lang w:val="bg-BG"/>
        </w:rPr>
        <w:t xml:space="preserve"> </w:t>
      </w:r>
    </w:p>
    <w:p w:rsidR="00962C82" w:rsidRPr="00BE2B92" w:rsidRDefault="00962C82" w:rsidP="00962C82">
      <w:pPr>
        <w:pStyle w:val="ac"/>
        <w:spacing w:line="360" w:lineRule="auto"/>
        <w:ind w:firstLine="720"/>
        <w:jc w:val="both"/>
        <w:rPr>
          <w:rFonts w:ascii="Times New Roman" w:hAnsi="Times New Roman" w:cs="Times New Roman"/>
          <w:sz w:val="28"/>
          <w:szCs w:val="28"/>
        </w:rPr>
      </w:pPr>
      <w:r w:rsidRPr="00BE2B92">
        <w:rPr>
          <w:rFonts w:ascii="Times New Roman" w:hAnsi="Times New Roman" w:cs="Times New Roman"/>
          <w:sz w:val="28"/>
          <w:szCs w:val="28"/>
        </w:rPr>
        <w:t xml:space="preserve">Критериите, на базата на които се прави оценка на енергийния потенциал, са средномесечна скорост на вятъра - V (m/s), на 10 m височина от повърхността и плътност на енергийния поток (W/m2). </w:t>
      </w:r>
    </w:p>
    <w:p w:rsidR="00962C82" w:rsidRPr="00BE2B92" w:rsidRDefault="00962C82" w:rsidP="00962C82">
      <w:pPr>
        <w:pStyle w:val="ac"/>
        <w:spacing w:line="360" w:lineRule="auto"/>
        <w:jc w:val="both"/>
        <w:rPr>
          <w:rFonts w:ascii="Times New Roman" w:hAnsi="Times New Roman" w:cs="Times New Roman"/>
          <w:sz w:val="28"/>
          <w:szCs w:val="28"/>
        </w:rPr>
      </w:pPr>
      <w:r w:rsidRPr="00BE2B92">
        <w:rPr>
          <w:rFonts w:ascii="Times New Roman" w:hAnsi="Times New Roman" w:cs="Times New Roman"/>
          <w:noProof/>
          <w:sz w:val="28"/>
          <w:szCs w:val="28"/>
          <w:lang w:val="en-GB" w:eastAsia="en-GB"/>
        </w:rPr>
        <w:drawing>
          <wp:inline distT="0" distB="0" distL="0" distR="0" wp14:anchorId="66C6520D" wp14:editId="614699A2">
            <wp:extent cx="5772150" cy="3200400"/>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72957" cy="3200847"/>
                    </a:xfrm>
                    <a:prstGeom prst="rect">
                      <a:avLst/>
                    </a:prstGeom>
                  </pic:spPr>
                </pic:pic>
              </a:graphicData>
            </a:graphic>
          </wp:inline>
        </w:drawing>
      </w:r>
    </w:p>
    <w:p w:rsidR="00836267" w:rsidRDefault="003767E2" w:rsidP="003767E2">
      <w:pPr>
        <w:pStyle w:val="ac"/>
        <w:ind w:firstLine="708"/>
        <w:jc w:val="both"/>
        <w:rPr>
          <w:rFonts w:ascii="Times New Roman" w:hAnsi="Times New Roman" w:cs="Times New Roman"/>
          <w:i/>
        </w:rPr>
      </w:pPr>
      <w:r w:rsidRPr="003767E2">
        <w:rPr>
          <w:rFonts w:ascii="Times New Roman" w:hAnsi="Times New Roman" w:cs="Times New Roman"/>
          <w:i/>
        </w:rPr>
        <w:t xml:space="preserve">   Графика № </w:t>
      </w:r>
      <w:r>
        <w:rPr>
          <w:rFonts w:ascii="Times New Roman" w:hAnsi="Times New Roman" w:cs="Times New Roman"/>
          <w:i/>
        </w:rPr>
        <w:t>6</w:t>
      </w:r>
      <w:r w:rsidRPr="003767E2">
        <w:rPr>
          <w:rFonts w:ascii="Times New Roman" w:hAnsi="Times New Roman" w:cs="Times New Roman"/>
          <w:i/>
        </w:rPr>
        <w:t>.</w:t>
      </w:r>
      <w:r w:rsidR="00836267" w:rsidRPr="003767E2">
        <w:rPr>
          <w:rFonts w:ascii="Times New Roman" w:hAnsi="Times New Roman" w:cs="Times New Roman"/>
          <w:i/>
        </w:rPr>
        <w:t xml:space="preserve">Карта на ветровия потенциал </w:t>
      </w:r>
    </w:p>
    <w:p w:rsidR="003767E2" w:rsidRPr="003767E2" w:rsidRDefault="003767E2" w:rsidP="003767E2">
      <w:pPr>
        <w:pStyle w:val="ac"/>
        <w:ind w:firstLine="708"/>
        <w:jc w:val="both"/>
        <w:rPr>
          <w:rFonts w:ascii="Times New Roman" w:hAnsi="Times New Roman" w:cs="Times New Roman"/>
          <w:i/>
        </w:rPr>
      </w:pPr>
    </w:p>
    <w:p w:rsidR="004616D8" w:rsidRPr="00BE2B92" w:rsidRDefault="004616D8" w:rsidP="00962C82">
      <w:pPr>
        <w:pStyle w:val="ac"/>
        <w:spacing w:line="360" w:lineRule="auto"/>
        <w:ind w:firstLine="720"/>
        <w:jc w:val="both"/>
        <w:rPr>
          <w:rFonts w:ascii="Times New Roman" w:hAnsi="Times New Roman" w:cs="Times New Roman"/>
          <w:sz w:val="28"/>
          <w:szCs w:val="28"/>
        </w:rPr>
      </w:pPr>
      <w:r w:rsidRPr="00BE2B92">
        <w:rPr>
          <w:rFonts w:ascii="Times New Roman" w:hAnsi="Times New Roman" w:cs="Times New Roman"/>
          <w:sz w:val="28"/>
          <w:szCs w:val="28"/>
        </w:rPr>
        <w:t>Районът се характеризира като ветровит над нормалното за България. Преобладаващи като цяло са северните и североизточни ветрове. Средна скорост на вятъра в м/сек в 2020 г. - 2,7 м/сек.</w:t>
      </w:r>
    </w:p>
    <w:p w:rsidR="004616D8" w:rsidRPr="00BE2B92" w:rsidRDefault="004616D8" w:rsidP="004616D8">
      <w:pPr>
        <w:spacing w:after="0" w:line="240" w:lineRule="auto"/>
        <w:jc w:val="both"/>
        <w:rPr>
          <w:rFonts w:ascii="Times New Roman" w:eastAsia="Calibri" w:hAnsi="Times New Roman" w:cs="Times New Roman"/>
          <w:sz w:val="28"/>
          <w:szCs w:val="28"/>
          <w:lang w:val="bg-BG"/>
        </w:rPr>
      </w:pPr>
      <w:r w:rsidRPr="00BE2B92">
        <w:rPr>
          <w:rFonts w:ascii="Times New Roman" w:eastAsia="Calibri" w:hAnsi="Times New Roman" w:cs="Times New Roman"/>
          <w:noProof/>
          <w:sz w:val="28"/>
          <w:szCs w:val="28"/>
          <w:lang w:val="en-GB" w:eastAsia="en-GB"/>
        </w:rPr>
        <w:drawing>
          <wp:inline distT="0" distB="0" distL="0" distR="0" wp14:anchorId="6C80BEAE" wp14:editId="22200975">
            <wp:extent cx="5972175" cy="2933700"/>
            <wp:effectExtent l="0" t="0" r="9525" b="0"/>
            <wp:docPr id="4" name="Ди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616D8" w:rsidRPr="00BE2B92" w:rsidRDefault="004616D8" w:rsidP="004616D8">
      <w:pPr>
        <w:widowControl w:val="0"/>
        <w:autoSpaceDE w:val="0"/>
        <w:autoSpaceDN w:val="0"/>
        <w:spacing w:after="0" w:line="240" w:lineRule="auto"/>
        <w:ind w:firstLine="708"/>
        <w:rPr>
          <w:rFonts w:ascii="Times New Roman" w:eastAsia="Calibri" w:hAnsi="Times New Roman" w:cs="Times New Roman"/>
          <w:i/>
          <w:lang w:val="bg-BG"/>
        </w:rPr>
      </w:pPr>
      <w:r w:rsidRPr="00BE2B92">
        <w:rPr>
          <w:rFonts w:ascii="Times New Roman" w:eastAsia="Calibri" w:hAnsi="Times New Roman" w:cs="Times New Roman"/>
          <w:i/>
          <w:lang w:val="bg-BG"/>
        </w:rPr>
        <w:t xml:space="preserve">Графика № </w:t>
      </w:r>
      <w:r w:rsidR="003767E2">
        <w:rPr>
          <w:rFonts w:ascii="Times New Roman" w:eastAsia="Calibri" w:hAnsi="Times New Roman" w:cs="Times New Roman"/>
          <w:i/>
          <w:lang w:val="bg-BG"/>
        </w:rPr>
        <w:t>7</w:t>
      </w:r>
      <w:r w:rsidRPr="00BE2B92">
        <w:rPr>
          <w:rFonts w:ascii="Times New Roman" w:eastAsia="Calibri" w:hAnsi="Times New Roman" w:cs="Times New Roman"/>
          <w:i/>
          <w:lang w:val="bg-BG"/>
        </w:rPr>
        <w:t>. Динамика на средна скорост на вятъра в м/сек в 2020 г.</w:t>
      </w:r>
    </w:p>
    <w:p w:rsidR="00836267" w:rsidRPr="00BE2B92" w:rsidRDefault="00836267" w:rsidP="001536DC">
      <w:pPr>
        <w:pStyle w:val="ac"/>
        <w:spacing w:line="360" w:lineRule="auto"/>
        <w:ind w:firstLine="720"/>
        <w:jc w:val="both"/>
        <w:rPr>
          <w:rFonts w:ascii="Times New Roman" w:hAnsi="Times New Roman" w:cs="Times New Roman"/>
          <w:sz w:val="28"/>
          <w:szCs w:val="28"/>
        </w:rPr>
      </w:pPr>
    </w:p>
    <w:p w:rsidR="004616D8" w:rsidRPr="00BE2B92" w:rsidRDefault="004616D8" w:rsidP="001536DC">
      <w:pPr>
        <w:pStyle w:val="ac"/>
        <w:spacing w:line="360" w:lineRule="auto"/>
        <w:ind w:firstLine="720"/>
        <w:jc w:val="both"/>
        <w:rPr>
          <w:rFonts w:ascii="Times New Roman" w:hAnsi="Times New Roman" w:cs="Times New Roman"/>
          <w:sz w:val="28"/>
          <w:szCs w:val="28"/>
        </w:rPr>
      </w:pPr>
      <w:r w:rsidRPr="00BE2B92">
        <w:rPr>
          <w:rFonts w:ascii="Times New Roman" w:hAnsi="Times New Roman" w:cs="Times New Roman"/>
          <w:sz w:val="28"/>
          <w:szCs w:val="28"/>
        </w:rPr>
        <w:t>Продължителните силни ветрове през зимата отвяват снежната покривка и причиняват измръзвания на есенниците, снегонавявания по пътищата и обледяване на далекопроводите и трайните насаждения.</w:t>
      </w:r>
    </w:p>
    <w:p w:rsidR="004616D8" w:rsidRPr="00BE2B92" w:rsidRDefault="004616D8" w:rsidP="004616D8">
      <w:pPr>
        <w:rPr>
          <w:lang w:val="bg-BG"/>
        </w:rPr>
      </w:pPr>
    </w:p>
    <w:p w:rsidR="005D0C17" w:rsidRPr="00BE2B92" w:rsidRDefault="00B93882" w:rsidP="001536DC">
      <w:pPr>
        <w:pStyle w:val="10"/>
        <w:spacing w:before="0" w:line="360" w:lineRule="auto"/>
        <w:ind w:firstLine="720"/>
        <w:jc w:val="both"/>
        <w:rPr>
          <w:rFonts w:ascii="Times New Roman" w:hAnsi="Times New Roman" w:cs="Times New Roman"/>
          <w:b/>
          <w:color w:val="auto"/>
          <w:sz w:val="28"/>
          <w:szCs w:val="28"/>
          <w:lang w:val="bg-BG"/>
        </w:rPr>
      </w:pPr>
      <w:bookmarkStart w:id="25" w:name="_Toc96613186"/>
      <w:r>
        <w:rPr>
          <w:rFonts w:ascii="Times New Roman" w:hAnsi="Times New Roman" w:cs="Times New Roman"/>
          <w:b/>
          <w:color w:val="auto"/>
          <w:sz w:val="28"/>
          <w:szCs w:val="28"/>
          <w:lang w:val="bg-BG"/>
        </w:rPr>
        <w:t>7.3</w:t>
      </w:r>
      <w:r w:rsidR="005D0C17" w:rsidRPr="00BE2B92">
        <w:rPr>
          <w:rFonts w:ascii="Times New Roman" w:hAnsi="Times New Roman" w:cs="Times New Roman"/>
          <w:b/>
          <w:color w:val="auto"/>
          <w:sz w:val="28"/>
          <w:szCs w:val="28"/>
          <w:lang w:val="bg-BG"/>
        </w:rPr>
        <w:t xml:space="preserve"> Водна енергия</w:t>
      </w:r>
      <w:bookmarkEnd w:id="25"/>
    </w:p>
    <w:p w:rsidR="004616D8" w:rsidRPr="00BE2B92" w:rsidRDefault="004616D8" w:rsidP="001536DC">
      <w:pPr>
        <w:widowControl w:val="0"/>
        <w:autoSpaceDE w:val="0"/>
        <w:autoSpaceDN w:val="0"/>
        <w:spacing w:after="0" w:line="360" w:lineRule="auto"/>
        <w:ind w:firstLine="708"/>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В общината, както в цялата област Силистра липсват постоянни повърхностно течащи реки. В съществуващите сухоречия на пресъхналите реки „Хърсовска“ и „Суха“, както и в техните пресъхнали притоци „Табан“ и „Канагьол“, периодично се появява повърхностен отток в месеците, когато има обилни валежи. В тази връзка и  съгласно Интегрираната те</w:t>
      </w:r>
      <w:r w:rsidR="001D6797">
        <w:rPr>
          <w:rFonts w:ascii="Times New Roman" w:eastAsia="Calibri" w:hAnsi="Times New Roman" w:cs="Times New Roman"/>
          <w:sz w:val="28"/>
          <w:szCs w:val="28"/>
          <w:lang w:val="bg-BG"/>
        </w:rPr>
        <w:t>риториална схема за развитие 202</w:t>
      </w:r>
      <w:r w:rsidRPr="00BE2B92">
        <w:rPr>
          <w:rFonts w:ascii="Times New Roman" w:eastAsia="Calibri" w:hAnsi="Times New Roman" w:cs="Times New Roman"/>
          <w:sz w:val="28"/>
          <w:szCs w:val="28"/>
          <w:lang w:val="bg-BG"/>
        </w:rPr>
        <w:t>1-2027 г. , община Кайнарджа - няма територии в заплаха от наводнение.</w:t>
      </w:r>
    </w:p>
    <w:p w:rsidR="004616D8" w:rsidRPr="00BE2B92" w:rsidRDefault="004616D8" w:rsidP="001536DC">
      <w:pPr>
        <w:widowControl w:val="0"/>
        <w:autoSpaceDE w:val="0"/>
        <w:autoSpaceDN w:val="0"/>
        <w:spacing w:after="0" w:line="360" w:lineRule="auto"/>
        <w:ind w:firstLine="708"/>
        <w:jc w:val="both"/>
        <w:rPr>
          <w:rFonts w:ascii="Times New Roman" w:eastAsia="Calibri" w:hAnsi="Times New Roman" w:cs="Times New Roman"/>
          <w:i/>
          <w:sz w:val="28"/>
          <w:szCs w:val="28"/>
          <w:lang w:val="bg-BG"/>
        </w:rPr>
      </w:pPr>
      <w:r w:rsidRPr="00BE2B92">
        <w:rPr>
          <w:rFonts w:ascii="Times New Roman" w:eastAsia="Calibri" w:hAnsi="Times New Roman" w:cs="Times New Roman"/>
          <w:i/>
          <w:sz w:val="28"/>
          <w:szCs w:val="28"/>
          <w:lang w:val="bg-BG"/>
        </w:rPr>
        <w:lastRenderedPageBreak/>
        <w:t>Подпочвени води</w:t>
      </w:r>
    </w:p>
    <w:p w:rsidR="004616D8" w:rsidRPr="00BE2B92" w:rsidRDefault="004616D8" w:rsidP="001536DC">
      <w:pPr>
        <w:widowControl w:val="0"/>
        <w:autoSpaceDE w:val="0"/>
        <w:autoSpaceDN w:val="0"/>
        <w:spacing w:after="0" w:line="360" w:lineRule="auto"/>
        <w:ind w:firstLine="708"/>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Територията се характеризира с дълбочинни подпочвени води. Водите са ненапорни и се дренират частично, под формата на малодебитни извори. По-главните извори са каптирани за водоснабдяване. На много места се срещат карстови извори с дебит 1-2 л/сек. Дълбоките подпочвените води се използват за водоснабдяване на селищата чрез каптажни кладенци, експлоатирани от ВиК – Силистра ООД. От тях се черпи вода и се снабдяват централните водопроводи на общината.</w:t>
      </w:r>
    </w:p>
    <w:p w:rsidR="004616D8" w:rsidRPr="00BE2B92" w:rsidRDefault="004616D8" w:rsidP="001536DC">
      <w:pPr>
        <w:widowControl w:val="0"/>
        <w:autoSpaceDE w:val="0"/>
        <w:autoSpaceDN w:val="0"/>
        <w:spacing w:after="0" w:line="360" w:lineRule="auto"/>
        <w:ind w:firstLine="708"/>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Експлоатацията на подпочвените води се осъществява чрез дълбоки сондажни и шахтови кладенци (30-40 м под дъното на суходолията). Множество електрически помпи подкачват водата до инфраструктурата за водоснабдяване и при тях също е необходимо осъвременяване  и подобряване на техническите  характеристики, чрез подмяна на възли или цели структури с цел икономисване на енергия.</w:t>
      </w:r>
    </w:p>
    <w:p w:rsidR="007F3869" w:rsidRDefault="007F3869" w:rsidP="001536DC">
      <w:pPr>
        <w:widowControl w:val="0"/>
        <w:autoSpaceDE w:val="0"/>
        <w:autoSpaceDN w:val="0"/>
        <w:spacing w:after="0" w:line="360" w:lineRule="auto"/>
        <w:ind w:firstLine="708"/>
        <w:jc w:val="both"/>
        <w:rPr>
          <w:rFonts w:ascii="Times New Roman" w:eastAsia="Calibri" w:hAnsi="Times New Roman" w:cs="Times New Roman"/>
          <w:b/>
          <w:i/>
          <w:color w:val="365F91"/>
          <w:sz w:val="32"/>
          <w:szCs w:val="32"/>
          <w:lang w:val="bg-BG"/>
        </w:rPr>
      </w:pPr>
    </w:p>
    <w:p w:rsidR="001E5F77" w:rsidRDefault="001E5F77" w:rsidP="001536DC">
      <w:pPr>
        <w:widowControl w:val="0"/>
        <w:autoSpaceDE w:val="0"/>
        <w:autoSpaceDN w:val="0"/>
        <w:spacing w:after="0" w:line="360" w:lineRule="auto"/>
        <w:ind w:firstLine="708"/>
        <w:jc w:val="both"/>
        <w:rPr>
          <w:rFonts w:ascii="Times New Roman" w:eastAsia="Calibri" w:hAnsi="Times New Roman" w:cs="Times New Roman"/>
          <w:b/>
          <w:i/>
          <w:color w:val="365F91"/>
          <w:sz w:val="32"/>
          <w:szCs w:val="32"/>
          <w:lang w:val="bg-BG"/>
        </w:rPr>
      </w:pPr>
    </w:p>
    <w:p w:rsidR="004616D8" w:rsidRPr="00BE2B92" w:rsidRDefault="004616D8" w:rsidP="003767E2">
      <w:pPr>
        <w:widowControl w:val="0"/>
        <w:autoSpaceDE w:val="0"/>
        <w:autoSpaceDN w:val="0"/>
        <w:spacing w:after="0" w:line="360" w:lineRule="auto"/>
        <w:ind w:firstLine="709"/>
        <w:jc w:val="both"/>
        <w:rPr>
          <w:rFonts w:ascii="Times New Roman" w:eastAsia="Calibri" w:hAnsi="Times New Roman" w:cs="Times New Roman"/>
          <w:b/>
          <w:i/>
          <w:color w:val="365F91"/>
          <w:sz w:val="32"/>
          <w:szCs w:val="32"/>
          <w:lang w:val="bg-BG"/>
        </w:rPr>
      </w:pPr>
      <w:r w:rsidRPr="00BE2B92">
        <w:rPr>
          <w:rFonts w:ascii="Times New Roman" w:eastAsia="Calibri" w:hAnsi="Times New Roman" w:cs="Times New Roman"/>
          <w:b/>
          <w:i/>
          <w:color w:val="365F91"/>
          <w:sz w:val="32"/>
          <w:szCs w:val="32"/>
          <w:lang w:val="bg-BG"/>
        </w:rPr>
        <w:t>Реки</w:t>
      </w:r>
    </w:p>
    <w:p w:rsidR="004616D8" w:rsidRPr="00BE2B92" w:rsidRDefault="004616D8" w:rsidP="003767E2">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Територията на общината е бедна на реки. През областта протичат само временни реки по време на интензивни валежи или снеготопене: Царацар, Канагьол, Сухата река и др. Характерно за добруджанските реки е, че те съществуват на определено разстояние след изворите си, след което се загубват в льосовите образувания на Добруджа и следващите ги суходолия, като не формират повърхностен приток към р. Дунав.</w:t>
      </w:r>
    </w:p>
    <w:p w:rsidR="004616D8" w:rsidRPr="00BE2B92" w:rsidRDefault="004616D8" w:rsidP="001536DC">
      <w:pPr>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i/>
          <w:sz w:val="28"/>
          <w:szCs w:val="28"/>
          <w:lang w:val="bg-BG"/>
        </w:rPr>
        <w:t>Суха река</w:t>
      </w:r>
      <w:r w:rsidRPr="00BE2B92">
        <w:rPr>
          <w:rFonts w:ascii="Times New Roman" w:eastAsia="Calibri" w:hAnsi="Times New Roman" w:cs="Times New Roman"/>
          <w:sz w:val="28"/>
          <w:szCs w:val="28"/>
          <w:lang w:val="bg-BG"/>
        </w:rPr>
        <w:t xml:space="preserve"> е река в Североизточна България, започваща от Област Варна - община Суворово и преминава през община Аксаково, в област Добрич през общини Добрич и Крушари и през област Силистра — община Кайнарджа и </w:t>
      </w:r>
      <w:r w:rsidRPr="00BE2B92">
        <w:rPr>
          <w:rFonts w:ascii="Times New Roman" w:eastAsia="Calibri" w:hAnsi="Times New Roman" w:cs="Times New Roman"/>
          <w:sz w:val="28"/>
          <w:szCs w:val="28"/>
          <w:lang w:val="bg-BG"/>
        </w:rPr>
        <w:lastRenderedPageBreak/>
        <w:t>завършва в Румъния. Влива се като суходолие в ез. Олтина. Общата й дължина е 125,8 км, от които в България над 100 км, които я нареждат на 26-то място сред реките на България. Суха река води началото си под името Изворско дере от извор-чешма (на 333 м н.в.) в западната част на Франгенско плато, на 1 км южно от с. Изгрев (област Варна). Тече в северна посока в широка долина, развита в окарстени варовици. На север от устието на река Карамандере долината придобива каньоновиден характер със стръмни (на места до 100 м) скалисти брегове. Суха река е с основно дъждовно-снежно подхранване, но е с непостоянен речен отток, като максимумът е през пролетта март-юни, а минимумът — юли-октомври. Северно от село Карапелит коритото окончателно пресъхва и оттам нататък до устието си продължава като суходолие. На 4 км северно от село Краново, навлиза в румънска територия и се влива като суходолие в езерото Олтина, разположено на десния бряг на Дунав. Площта на водосборният басейн на Суха река е 2 403,9 км2, което представлява 0,3% от водосборния басейн на Дунав. През зимата, в продължение на 10-20 дни реката замръзва. Преди 60-70 години водното течение на реката е било постоянно и е била зарибена. По-късно изсичането на горите във водосборната област е довело до почти пълно пресъхване в средното и долното течение. Основни притоци са Маринска река, Карамандере и Добричка река. Речната   мрежа е асиметрична, като левите   притоци са къси със сравнително голям наклон, докато десните са дълги с добре оформени речни долини.</w:t>
      </w:r>
    </w:p>
    <w:p w:rsidR="004616D8" w:rsidRPr="00BE2B92" w:rsidRDefault="004616D8" w:rsidP="001536DC">
      <w:pPr>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b/>
          <w:i/>
          <w:sz w:val="28"/>
          <w:szCs w:val="28"/>
          <w:lang w:val="bg-BG"/>
        </w:rPr>
        <w:t>Хърсовска река</w:t>
      </w:r>
      <w:r w:rsidRPr="00BE2B92">
        <w:rPr>
          <w:rFonts w:ascii="Times New Roman" w:eastAsia="Calibri" w:hAnsi="Times New Roman" w:cs="Times New Roman"/>
          <w:sz w:val="28"/>
          <w:szCs w:val="28"/>
          <w:lang w:val="bg-BG"/>
        </w:rPr>
        <w:t xml:space="preserve"> е река в Североизточна България, която преминава през област Шумен — община Никола Козлево, област Добрич —община Тервел и област</w:t>
      </w:r>
      <w:r w:rsidRPr="00BE2B92">
        <w:rPr>
          <w:rFonts w:ascii="Times New Roman" w:eastAsia="Calibri" w:hAnsi="Times New Roman" w:cs="Times New Roman"/>
          <w:sz w:val="28"/>
          <w:szCs w:val="28"/>
          <w:lang w:val="bg-BG"/>
        </w:rPr>
        <w:tab/>
        <w:t xml:space="preserve">Силистра — общини Алфатар, Кайнарджа и Силистра. Влива се като суходолие отдясно в суходолието на река Канагьол. Дължината е 91 км, която отрежда 32-ро място сред реките на България. Хърсовска река извира </w:t>
      </w:r>
      <w:r w:rsidRPr="00BE2B92">
        <w:rPr>
          <w:rFonts w:ascii="Times New Roman" w:eastAsia="Calibri" w:hAnsi="Times New Roman" w:cs="Times New Roman"/>
          <w:sz w:val="28"/>
          <w:szCs w:val="28"/>
          <w:lang w:val="bg-BG"/>
        </w:rPr>
        <w:lastRenderedPageBreak/>
        <w:t>на 397 м н.в. в северната част на платото Стана, на 2,5 км СЗ от с. Хърсово, област Шумен. До село Пет могили протича на изток и североизток в широка долина, а след това се насочва на север, като долината става каньоновидна, дълбоко всечена в апатските и сарматски варовици и льосовата покривка на Лудогорието и Добруджа. След село Цани Гинчево, коритото окончателно пресъхва и от там нататък продължава като суходолие, в което епизодично има водооток. В най-южната част на село Богорово, община Силистра, суходолието на Хърсовска река се „влива” отдясно в суходолието на река Канагьол. Хърсовска река е с основно дъждовно-снежно подхранване, но с непостоянен речен отток, като максимумът е през пролетта март-юни, а минимумът — юли-октомври. В горното течение на реката, там където има постоянен водоток водите се използват за напояване, като по самата река и по няколко от нейните притоци са изградени няколко микроязовира — „Деребою”, „Каравелово” и др. Две по-малки реки, също пресъхнали в ХVІІІ век – Табан и Малък канагьол са притоци на Хърсовска река.</w:t>
      </w:r>
    </w:p>
    <w:p w:rsidR="004616D8" w:rsidRPr="00BE2B92" w:rsidRDefault="004616D8" w:rsidP="001536D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В Силистренска област по суходолието на реката преминава цялата граница между общините Алфатар и Кайнарджа. В този участък по стръмните и отвесни скалисти брегове на реката през средновековието изкуствено са издълбани стотици пещери (Войновски скални манастири), в които са се помещавали отшелници-монаси и са образували християнски манастири. Между селата Стрелково и Войново е най-атрактивната част от сухоречията на тези реки, където е открит - от проф. Г. Атанасов, комплекс от пет светилища от времето на траките. В подножието на с. Стрелково е централното тракийско светилище „Баджалията”.</w:t>
      </w:r>
    </w:p>
    <w:p w:rsidR="004616D8" w:rsidRPr="00BE2B92" w:rsidRDefault="004616D8" w:rsidP="001536D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Хърсовска река продължава към община Силистра – през селата Поп Кралево и Богорово и чрез суходолие се влива в езерото Буджак на територията на Република Румъния. Един от притоците й – р. Табан, минава </w:t>
      </w:r>
      <w:r w:rsidRPr="00BE2B92">
        <w:rPr>
          <w:rFonts w:ascii="Times New Roman" w:eastAsia="Calibri" w:hAnsi="Times New Roman" w:cs="Times New Roman"/>
          <w:sz w:val="28"/>
          <w:szCs w:val="28"/>
          <w:lang w:val="bg-BG"/>
        </w:rPr>
        <w:lastRenderedPageBreak/>
        <w:t>край с. Поп Русаново и там по поречието й са намерени също от проф. Георги Атанасов останки от древна крепост.</w:t>
      </w:r>
    </w:p>
    <w:p w:rsidR="004616D8" w:rsidRPr="00BE2B92" w:rsidRDefault="004616D8" w:rsidP="00836267">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Оскъдните валежи, слабият наклон на релефа и варовиковата основа са комплекс от обстоятелства, определящи липсата на повърхностно течащи води и наличието на суходолия. Водният режим се определя от д</w:t>
      </w:r>
      <w:r w:rsidR="00836267" w:rsidRPr="00BE2B92">
        <w:rPr>
          <w:rFonts w:ascii="Times New Roman" w:eastAsia="Calibri" w:hAnsi="Times New Roman" w:cs="Times New Roman"/>
          <w:sz w:val="28"/>
          <w:szCs w:val="28"/>
          <w:lang w:val="bg-BG"/>
        </w:rPr>
        <w:t xml:space="preserve">ъждовните води и снеготопенето. </w:t>
      </w:r>
      <w:r w:rsidRPr="00BE2B92">
        <w:rPr>
          <w:rFonts w:ascii="Times New Roman" w:eastAsia="Calibri" w:hAnsi="Times New Roman" w:cs="Times New Roman"/>
          <w:sz w:val="28"/>
          <w:szCs w:val="28"/>
          <w:lang w:val="bg-BG"/>
        </w:rPr>
        <w:t>Съществуващите водоеми се захранват от карстови чешми.</w:t>
      </w:r>
    </w:p>
    <w:p w:rsidR="00836267" w:rsidRPr="00BE2B92" w:rsidRDefault="00836267" w:rsidP="00411BC8">
      <w:pPr>
        <w:pStyle w:val="10"/>
        <w:spacing w:before="0" w:line="360" w:lineRule="auto"/>
        <w:ind w:firstLine="720"/>
        <w:jc w:val="both"/>
        <w:rPr>
          <w:rFonts w:ascii="Times New Roman" w:hAnsi="Times New Roman" w:cs="Times New Roman"/>
          <w:b/>
          <w:color w:val="auto"/>
          <w:sz w:val="28"/>
          <w:szCs w:val="28"/>
          <w:lang w:val="bg-BG"/>
        </w:rPr>
      </w:pPr>
    </w:p>
    <w:p w:rsidR="00411BC8" w:rsidRPr="00BE2B92" w:rsidRDefault="00B93882" w:rsidP="00411BC8">
      <w:pPr>
        <w:pStyle w:val="10"/>
        <w:spacing w:before="0" w:line="360" w:lineRule="auto"/>
        <w:ind w:firstLine="720"/>
        <w:jc w:val="both"/>
        <w:rPr>
          <w:rFonts w:ascii="Times New Roman" w:hAnsi="Times New Roman" w:cs="Times New Roman"/>
          <w:b/>
          <w:color w:val="auto"/>
          <w:sz w:val="28"/>
          <w:szCs w:val="28"/>
          <w:lang w:val="bg-BG"/>
        </w:rPr>
      </w:pPr>
      <w:bookmarkStart w:id="26" w:name="_Toc96613187"/>
      <w:r>
        <w:rPr>
          <w:rFonts w:ascii="Times New Roman" w:hAnsi="Times New Roman" w:cs="Times New Roman"/>
          <w:b/>
          <w:color w:val="auto"/>
          <w:sz w:val="28"/>
          <w:szCs w:val="28"/>
          <w:lang w:val="bg-BG"/>
        </w:rPr>
        <w:t>7.4</w:t>
      </w:r>
      <w:r w:rsidR="005D0C17" w:rsidRPr="00BE2B92">
        <w:rPr>
          <w:rFonts w:ascii="Times New Roman" w:hAnsi="Times New Roman" w:cs="Times New Roman"/>
          <w:b/>
          <w:color w:val="auto"/>
          <w:sz w:val="28"/>
          <w:szCs w:val="28"/>
          <w:lang w:val="bg-BG"/>
        </w:rPr>
        <w:t xml:space="preserve"> Геотермална енергия</w:t>
      </w:r>
      <w:bookmarkEnd w:id="26"/>
      <w:r w:rsidR="005D0C17" w:rsidRPr="00BE2B92">
        <w:rPr>
          <w:rFonts w:ascii="Times New Roman" w:hAnsi="Times New Roman" w:cs="Times New Roman"/>
          <w:b/>
          <w:color w:val="auto"/>
          <w:sz w:val="28"/>
          <w:szCs w:val="28"/>
          <w:lang w:val="bg-BG"/>
        </w:rPr>
        <w:t xml:space="preserve"> </w:t>
      </w:r>
    </w:p>
    <w:p w:rsidR="00411BC8" w:rsidRPr="00BE2B92" w:rsidRDefault="00836267" w:rsidP="00836267">
      <w:pPr>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Геотермалната енергия включва: топлината на термалните води, водната пара, нагретите скали намиращи се на по-голяма дълбочина. Енергийният потенциал на термалните води се определя от оползотворения дебит и реализираната температурна разлика (охлаждане) на водата.</w:t>
      </w:r>
    </w:p>
    <w:p w:rsidR="00836267" w:rsidRPr="00BE2B92" w:rsidRDefault="00836267" w:rsidP="00836267">
      <w:pPr>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В община Кайнарджа няма открита минерална вода, на която е извър</w:t>
      </w:r>
      <w:r w:rsidR="001D6797">
        <w:rPr>
          <w:rFonts w:ascii="Times New Roman" w:eastAsia="Calibri" w:hAnsi="Times New Roman" w:cs="Times New Roman"/>
          <w:sz w:val="28"/>
          <w:szCs w:val="28"/>
          <w:lang w:val="bg-BG"/>
        </w:rPr>
        <w:t>шена балнеоложка оценка</w:t>
      </w:r>
      <w:r w:rsidRPr="00BE2B92">
        <w:rPr>
          <w:rFonts w:ascii="Times New Roman" w:eastAsia="Calibri" w:hAnsi="Times New Roman" w:cs="Times New Roman"/>
          <w:sz w:val="28"/>
          <w:szCs w:val="28"/>
          <w:lang w:val="bg-BG"/>
        </w:rPr>
        <w:t xml:space="preserve">. </w:t>
      </w:r>
    </w:p>
    <w:p w:rsidR="00836267" w:rsidRPr="00BE2B92" w:rsidRDefault="00836267" w:rsidP="00836267">
      <w:pPr>
        <w:spacing w:after="0" w:line="360" w:lineRule="auto"/>
        <w:ind w:firstLine="709"/>
        <w:jc w:val="both"/>
        <w:rPr>
          <w:rFonts w:ascii="Times New Roman" w:eastAsia="Calibri" w:hAnsi="Times New Roman" w:cs="Times New Roman"/>
          <w:sz w:val="28"/>
          <w:szCs w:val="28"/>
          <w:lang w:val="bg-BG"/>
        </w:rPr>
      </w:pPr>
    </w:p>
    <w:p w:rsidR="005D0C17" w:rsidRPr="00BE2B92" w:rsidRDefault="00B93882" w:rsidP="001536DC">
      <w:pPr>
        <w:pStyle w:val="10"/>
        <w:spacing w:before="0" w:line="360" w:lineRule="auto"/>
        <w:ind w:firstLine="720"/>
        <w:jc w:val="both"/>
        <w:rPr>
          <w:rFonts w:ascii="Times New Roman" w:hAnsi="Times New Roman" w:cs="Times New Roman"/>
          <w:b/>
          <w:color w:val="auto"/>
          <w:sz w:val="28"/>
          <w:szCs w:val="28"/>
          <w:lang w:val="bg-BG"/>
        </w:rPr>
      </w:pPr>
      <w:bookmarkStart w:id="27" w:name="_Toc96613188"/>
      <w:r>
        <w:rPr>
          <w:rFonts w:ascii="Times New Roman" w:hAnsi="Times New Roman" w:cs="Times New Roman"/>
          <w:b/>
          <w:color w:val="auto"/>
          <w:sz w:val="28"/>
          <w:szCs w:val="28"/>
          <w:lang w:val="bg-BG"/>
        </w:rPr>
        <w:t>7.5</w:t>
      </w:r>
      <w:r w:rsidR="005D0C17" w:rsidRPr="00BE2B92">
        <w:rPr>
          <w:rFonts w:ascii="Times New Roman" w:hAnsi="Times New Roman" w:cs="Times New Roman"/>
          <w:b/>
          <w:color w:val="auto"/>
          <w:sz w:val="28"/>
          <w:szCs w:val="28"/>
          <w:lang w:val="bg-BG"/>
        </w:rPr>
        <w:t xml:space="preserve"> Енергия от биомаса</w:t>
      </w:r>
      <w:bookmarkEnd w:id="27"/>
      <w:r w:rsidR="005D0C17" w:rsidRPr="00BE2B92">
        <w:rPr>
          <w:rFonts w:ascii="Times New Roman" w:hAnsi="Times New Roman" w:cs="Times New Roman"/>
          <w:b/>
          <w:color w:val="auto"/>
          <w:sz w:val="28"/>
          <w:szCs w:val="28"/>
          <w:lang w:val="bg-BG"/>
        </w:rPr>
        <w:t xml:space="preserve"> </w:t>
      </w:r>
    </w:p>
    <w:p w:rsidR="00E92A46" w:rsidRPr="00BE2B92" w:rsidRDefault="00E92A46" w:rsidP="00E92A46">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От всички ВЕИ най-голям неизползван технически достъпен енергиен потенциал има биомасата. Неговото усвояване в близко бъдеще е безспорен национален приоритет. Използването на биомаса се счита за правилна стъпка в посока намаляване на пагубното антропогенно въздействие, което модерната цивилизация оказва върху планетата. Терминът „биомаса“ означава органична материя с растителен или животински произход. Биомасата е ключов възобновяем ресурс в световен мащаб. За добиването и не е необходимо изсичане на дървета, а се използва дървесният отпадък. За ¾ от хората, живеещи в развиващите се страни, биомасата е най-важният източник на енергия, който им позволява да съчетаят грижата за околната </w:t>
      </w:r>
      <w:r w:rsidRPr="00BE2B92">
        <w:rPr>
          <w:rFonts w:ascii="Times New Roman" w:eastAsia="Calibri" w:hAnsi="Times New Roman" w:cs="Times New Roman"/>
          <w:sz w:val="28"/>
          <w:szCs w:val="28"/>
          <w:lang w:val="bg-BG"/>
        </w:rPr>
        <w:lastRenderedPageBreak/>
        <w:t xml:space="preserve">среда с тази за собствения им комфорт. </w:t>
      </w:r>
    </w:p>
    <w:p w:rsidR="00E92A46" w:rsidRPr="00BE2B92" w:rsidRDefault="00E92A46" w:rsidP="00E92A46">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За да</w:t>
      </w:r>
      <w:r w:rsidR="009F7F9D">
        <w:rPr>
          <w:rFonts w:ascii="Times New Roman" w:eastAsia="Calibri" w:hAnsi="Times New Roman" w:cs="Times New Roman"/>
          <w:sz w:val="28"/>
          <w:szCs w:val="28"/>
          <w:lang w:val="bg-BG"/>
        </w:rPr>
        <w:t xml:space="preserve"> бъде транспортирана произвед</w:t>
      </w:r>
      <w:r w:rsidRPr="00BE2B92">
        <w:rPr>
          <w:rFonts w:ascii="Times New Roman" w:eastAsia="Calibri" w:hAnsi="Times New Roman" w:cs="Times New Roman"/>
          <w:sz w:val="28"/>
          <w:szCs w:val="28"/>
          <w:lang w:val="bg-BG"/>
        </w:rPr>
        <w:t xml:space="preserve">ената енергия до потребителите е нужно да бъде изградена допълнителна мрежа за пренос на топлинна енергия. От всички ВЕИ, биомасата (дървесината) е с най-голям принос в енергийния баланс на страната. Неизползваните отпадъци от дърводобива и малоценната дървесина, която сега се губи без да се използва могат да бъдат усвоени само след раздробяване на трески или преработване в дървесни брикети или пелети след пресоване и изсушаване. Производството на трески има значително по-ниски разходи от производството на брикети и пелети, при което се изисква предварително изсушаване на дървесината и е необходима енергия за пресоване. Увеличаване на използването на биомаса за енергийни цели ще доведе до икономия на електроенергия и скъпи вносни горива и води до намаляване на енергийната зависимост. </w:t>
      </w:r>
    </w:p>
    <w:p w:rsidR="00E92A46" w:rsidRPr="00BE2B92" w:rsidRDefault="00E92A46" w:rsidP="00E92A46">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На фона на оценката на потенциала от биомаса може да се твърди, че употребеното за енергийни нужди количество биомаса в страната не е достигнало своята максимална стойност. Оценката на потенциала от биомаса изисква изключително внимателен и предпазлив подход тъй като става дума за ресурси, които имат ограничен прираст и много други ценни приложения, включително осигуряване прехраната на хората и кислорода за атмосферата.</w:t>
      </w:r>
    </w:p>
    <w:p w:rsidR="00E92A46" w:rsidRPr="00BE2B92" w:rsidRDefault="00E92A46" w:rsidP="00E92A46">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Затова подходът е да се включват в потенциала само отпадъци от селското и горското, битови отпадъци, малоценна дървесина, която не намира друго приложение и отпада по естествени причини без да се използва, както и енергийни култури, отглеждани на пустеещи земи и др. Нарастващата енергийна употреба на дървесината в страната се дължи основно на ниската и цена и незначителните инвестиции за остарели съоръжения, които в момента не са актуални, за трансформирането и в топлинна енергия. </w:t>
      </w:r>
    </w:p>
    <w:p w:rsidR="00E92A46" w:rsidRPr="001E5F77" w:rsidRDefault="00E92A46" w:rsidP="001E5F77">
      <w:pPr>
        <w:widowControl w:val="0"/>
        <w:autoSpaceDE w:val="0"/>
        <w:autoSpaceDN w:val="0"/>
        <w:spacing w:after="0" w:line="360" w:lineRule="auto"/>
        <w:ind w:firstLine="720"/>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Експертните прогнози показват, че използването на дървесина и </w:t>
      </w:r>
      <w:r w:rsidRPr="00BE2B92">
        <w:rPr>
          <w:rFonts w:ascii="Times New Roman" w:eastAsia="Calibri" w:hAnsi="Times New Roman" w:cs="Times New Roman"/>
          <w:sz w:val="28"/>
          <w:szCs w:val="28"/>
          <w:lang w:val="bg-BG"/>
        </w:rPr>
        <w:lastRenderedPageBreak/>
        <w:t xml:space="preserve">нейните производни (при определени) условия ще продължи да бъде икономически изгодно, като една от причините за това се посочва, че биомасата е местен и възобновяем ресурс. Използването на съвременни котли може да повиши до два пъти полезното количество топлина, получавано от дървата за огрев, което е равностойно на двукратно увеличение на потенциала без да се увеличава потреблението. „Дървесният чипс“ (надробени трески, дървесина) в България е </w:t>
      </w:r>
      <w:r w:rsidRPr="001E5F77">
        <w:rPr>
          <w:rFonts w:ascii="Times New Roman" w:eastAsia="Calibri" w:hAnsi="Times New Roman" w:cs="Times New Roman"/>
          <w:sz w:val="28"/>
          <w:szCs w:val="28"/>
          <w:lang w:val="bg-BG"/>
        </w:rPr>
        <w:t xml:space="preserve">с много малко потребление. </w:t>
      </w:r>
    </w:p>
    <w:p w:rsidR="00E92A46" w:rsidRPr="00A57010" w:rsidRDefault="00E92A46" w:rsidP="001E5F77">
      <w:pPr>
        <w:widowControl w:val="0"/>
        <w:tabs>
          <w:tab w:val="left" w:pos="993"/>
        </w:tabs>
        <w:autoSpaceDE w:val="0"/>
        <w:autoSpaceDN w:val="0"/>
        <w:spacing w:after="0" w:line="360" w:lineRule="auto"/>
        <w:ind w:firstLine="720"/>
        <w:jc w:val="both"/>
        <w:rPr>
          <w:rFonts w:ascii="Times New Roman" w:eastAsia="Calibri" w:hAnsi="Times New Roman" w:cs="Times New Roman"/>
          <w:sz w:val="28"/>
          <w:szCs w:val="28"/>
          <w:lang w:val="bg-BG"/>
        </w:rPr>
      </w:pPr>
      <w:r w:rsidRPr="00A57010">
        <w:rPr>
          <w:rFonts w:ascii="Times New Roman" w:eastAsia="Calibri" w:hAnsi="Times New Roman" w:cs="Times New Roman"/>
          <w:sz w:val="28"/>
          <w:szCs w:val="28"/>
          <w:lang w:val="bg-BG"/>
        </w:rPr>
        <w:t>Автоматизацията на процесите при използване на пелети се доближава до нивото на автоматизация на газовите инсталации. Останалото количество, използвана днес биомаса са индустриалните отпадъци, оползотворявани в предприятията, където се образуват. Използването на биомаса за производство на електроенергия отстъпва по икономически показатели на вносните и евтините местни въглища, ядрена и водна енергия</w:t>
      </w:r>
      <w:r w:rsidR="001E5F77" w:rsidRPr="00A57010">
        <w:rPr>
          <w:rFonts w:ascii="Times New Roman" w:eastAsia="Calibri" w:hAnsi="Times New Roman" w:cs="Times New Roman"/>
          <w:sz w:val="28"/>
          <w:szCs w:val="28"/>
          <w:lang w:val="bg-BG"/>
        </w:rPr>
        <w:t>.</w:t>
      </w:r>
    </w:p>
    <w:p w:rsidR="001E5F77" w:rsidRPr="00A57010" w:rsidRDefault="001E5F77" w:rsidP="001E5F77">
      <w:pPr>
        <w:spacing w:after="0" w:line="360" w:lineRule="auto"/>
        <w:ind w:firstLine="720"/>
        <w:jc w:val="both"/>
        <w:rPr>
          <w:rFonts w:ascii="Times New Roman" w:hAnsi="Times New Roman" w:cs="Times New Roman"/>
          <w:sz w:val="28"/>
          <w:szCs w:val="28"/>
          <w:lang w:val="ru-RU"/>
        </w:rPr>
      </w:pPr>
      <w:r w:rsidRPr="00A57010">
        <w:rPr>
          <w:rFonts w:ascii="Times New Roman" w:hAnsi="Times New Roman" w:cs="Times New Roman"/>
          <w:sz w:val="28"/>
          <w:szCs w:val="28"/>
          <w:lang w:val="ru-RU"/>
        </w:rPr>
        <w:t>Горите в община Кайнарджа заемат площ от 68</w:t>
      </w:r>
      <w:r w:rsidR="00A57010" w:rsidRPr="00A57010">
        <w:rPr>
          <w:rFonts w:ascii="Times New Roman" w:hAnsi="Times New Roman" w:cs="Times New Roman"/>
          <w:sz w:val="28"/>
          <w:szCs w:val="28"/>
          <w:lang w:val="ru-RU"/>
        </w:rPr>
        <w:t xml:space="preserve"> </w:t>
      </w:r>
      <w:r w:rsidRPr="00A57010">
        <w:rPr>
          <w:rFonts w:ascii="Times New Roman" w:hAnsi="Times New Roman" w:cs="Times New Roman"/>
          <w:sz w:val="28"/>
          <w:szCs w:val="28"/>
          <w:lang w:val="ru-RU"/>
        </w:rPr>
        <w:t>098,746 дка , в това число новозасадени площи през 2020 г. – 983,100 дка. Горският фонд в община Кайнарджа се стопанисва от ТП ДГС „Силистра” – гр. Силистра, Държавно лесничейство (ДЛ) - Силистра и Държавна дивечовъдна станция (ДДС) “Каракуз” със седалище гр. Дулово. Горите в района са представени от широколистните видове 97% и 3% иглолистни видове (черен бор). Доминиращите дървесни видове са: цер, бяла акация, келяв габър, сребърна липа, благун, планински и полски ясен, гладилия, червен дъб, бял орех, топола. Храстите са представени от глог, дрян, шипка, аморфа, трънка, черен бъз. Основният дървесен вид, който преобладава е церът, образуващ смесени и чисто издънкови насаждения.</w:t>
      </w:r>
    </w:p>
    <w:p w:rsidR="001E5F77" w:rsidRPr="00A57010" w:rsidRDefault="001E5F77" w:rsidP="001E5F77">
      <w:pPr>
        <w:spacing w:after="0" w:line="360" w:lineRule="auto"/>
        <w:ind w:firstLine="720"/>
        <w:jc w:val="both"/>
        <w:rPr>
          <w:rFonts w:ascii="Times New Roman" w:hAnsi="Times New Roman" w:cs="Times New Roman"/>
          <w:sz w:val="28"/>
          <w:szCs w:val="28"/>
          <w:lang w:val="ru-RU"/>
        </w:rPr>
      </w:pPr>
      <w:r w:rsidRPr="00A57010">
        <w:rPr>
          <w:rFonts w:ascii="Times New Roman" w:hAnsi="Times New Roman" w:cs="Times New Roman"/>
          <w:sz w:val="28"/>
          <w:szCs w:val="28"/>
          <w:lang w:val="ru-RU"/>
        </w:rPr>
        <w:t xml:space="preserve">По склоновете на суходолията има смесени насаждения от липа, габър, бряст и клен, а в долинните низини топола, акация. Залесената площ в </w:t>
      </w:r>
      <w:r w:rsidRPr="00A57010">
        <w:rPr>
          <w:rFonts w:ascii="Times New Roman" w:hAnsi="Times New Roman" w:cs="Times New Roman"/>
          <w:sz w:val="28"/>
          <w:szCs w:val="28"/>
          <w:lang w:val="ru-RU"/>
        </w:rPr>
        <w:lastRenderedPageBreak/>
        <w:t>горския фонд на общината е около 95 % от общата площ. Незалесената дървопроизводителна площ е 2,7%, а недървопроизводителната площ е 3,0%.</w:t>
      </w:r>
    </w:p>
    <w:p w:rsidR="001E5F77" w:rsidRPr="00A57010" w:rsidRDefault="001E5F77" w:rsidP="001E5F77">
      <w:pPr>
        <w:spacing w:after="0" w:line="360" w:lineRule="auto"/>
        <w:ind w:firstLine="720"/>
        <w:jc w:val="both"/>
        <w:rPr>
          <w:rFonts w:ascii="Times New Roman" w:hAnsi="Times New Roman" w:cs="Times New Roman"/>
          <w:sz w:val="28"/>
          <w:szCs w:val="28"/>
          <w:lang w:val="ru-RU"/>
        </w:rPr>
      </w:pPr>
      <w:r w:rsidRPr="00A57010">
        <w:rPr>
          <w:rFonts w:ascii="Times New Roman" w:hAnsi="Times New Roman" w:cs="Times New Roman"/>
          <w:sz w:val="28"/>
          <w:szCs w:val="28"/>
          <w:lang w:val="ru-RU"/>
        </w:rPr>
        <w:t>Горският фонд, стопанисван от ТП ДГС „Силистра” – гр. Силистра, е със следните показатели за собственост на горските територии (няма отделни данни само за община Кайнарджа, защото данните са от лесоустройствените проекти на ТП ДГС „Силистра”   ):</w:t>
      </w:r>
    </w:p>
    <w:p w:rsidR="001E5F77" w:rsidRPr="00A57010" w:rsidRDefault="001E5F77" w:rsidP="001E5F77">
      <w:pPr>
        <w:spacing w:after="0" w:line="360" w:lineRule="auto"/>
        <w:ind w:firstLine="720"/>
        <w:jc w:val="both"/>
        <w:rPr>
          <w:rFonts w:ascii="Times New Roman" w:hAnsi="Times New Roman" w:cs="Times New Roman"/>
          <w:sz w:val="28"/>
          <w:szCs w:val="28"/>
          <w:lang w:val="ru-RU"/>
        </w:rPr>
      </w:pPr>
    </w:p>
    <w:tbl>
      <w:tblPr>
        <w:tblStyle w:val="TableNormal1"/>
        <w:tblW w:w="9283"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6"/>
        <w:gridCol w:w="1248"/>
        <w:gridCol w:w="1247"/>
        <w:gridCol w:w="1019"/>
        <w:gridCol w:w="1741"/>
        <w:gridCol w:w="2202"/>
      </w:tblGrid>
      <w:tr w:rsidR="001E5F77" w:rsidRPr="00A57010" w:rsidTr="00EB0639">
        <w:trPr>
          <w:trHeight w:val="806"/>
        </w:trPr>
        <w:tc>
          <w:tcPr>
            <w:tcW w:w="1826" w:type="dxa"/>
          </w:tcPr>
          <w:p w:rsidR="001E5F77" w:rsidRPr="00A57010" w:rsidRDefault="001E5F77" w:rsidP="00C774BF">
            <w:pPr>
              <w:spacing w:line="265" w:lineRule="exact"/>
              <w:ind w:left="107"/>
              <w:rPr>
                <w:rFonts w:ascii="Times New Roman" w:eastAsia="Times New Roman" w:hAnsi="Times New Roman" w:cs="Times New Roman"/>
                <w:b/>
              </w:rPr>
            </w:pPr>
            <w:r w:rsidRPr="00A57010">
              <w:rPr>
                <w:rFonts w:ascii="Times New Roman" w:eastAsia="Times New Roman" w:hAnsi="Times New Roman" w:cs="Times New Roman"/>
                <w:b/>
              </w:rPr>
              <w:t>Вид</w:t>
            </w:r>
            <w:r w:rsidRPr="00A57010">
              <w:rPr>
                <w:rFonts w:ascii="Times New Roman" w:eastAsia="Times New Roman" w:hAnsi="Times New Roman" w:cs="Times New Roman"/>
                <w:b/>
                <w:spacing w:val="-4"/>
              </w:rPr>
              <w:t xml:space="preserve"> </w:t>
            </w:r>
            <w:r w:rsidRPr="00A57010">
              <w:rPr>
                <w:rFonts w:ascii="Times New Roman" w:eastAsia="Times New Roman" w:hAnsi="Times New Roman" w:cs="Times New Roman"/>
                <w:b/>
              </w:rPr>
              <w:t>собственост</w:t>
            </w:r>
          </w:p>
        </w:tc>
        <w:tc>
          <w:tcPr>
            <w:tcW w:w="1248" w:type="dxa"/>
          </w:tcPr>
          <w:p w:rsidR="001E5F77" w:rsidRPr="00A57010" w:rsidRDefault="001E5F77" w:rsidP="00C774BF">
            <w:pPr>
              <w:spacing w:line="265" w:lineRule="exact"/>
              <w:ind w:left="108"/>
              <w:rPr>
                <w:rFonts w:ascii="Times New Roman" w:eastAsia="Times New Roman" w:hAnsi="Times New Roman" w:cs="Times New Roman"/>
              </w:rPr>
            </w:pPr>
            <w:r w:rsidRPr="00A57010">
              <w:rPr>
                <w:rFonts w:ascii="Times New Roman" w:eastAsia="Times New Roman" w:hAnsi="Times New Roman" w:cs="Times New Roman"/>
              </w:rPr>
              <w:t>Държавна</w:t>
            </w:r>
          </w:p>
        </w:tc>
        <w:tc>
          <w:tcPr>
            <w:tcW w:w="1247" w:type="dxa"/>
          </w:tcPr>
          <w:p w:rsidR="001E5F77" w:rsidRPr="00A57010" w:rsidRDefault="001E5F77" w:rsidP="00C774BF">
            <w:pPr>
              <w:spacing w:line="265" w:lineRule="exact"/>
              <w:ind w:left="108"/>
              <w:rPr>
                <w:rFonts w:ascii="Times New Roman" w:eastAsia="Times New Roman" w:hAnsi="Times New Roman" w:cs="Times New Roman"/>
              </w:rPr>
            </w:pPr>
            <w:r w:rsidRPr="00A57010">
              <w:rPr>
                <w:rFonts w:ascii="Times New Roman" w:eastAsia="Times New Roman" w:hAnsi="Times New Roman" w:cs="Times New Roman"/>
              </w:rPr>
              <w:t>Общинска</w:t>
            </w:r>
          </w:p>
        </w:tc>
        <w:tc>
          <w:tcPr>
            <w:tcW w:w="1019" w:type="dxa"/>
          </w:tcPr>
          <w:p w:rsidR="001E5F77" w:rsidRPr="00A57010" w:rsidRDefault="001E5F77" w:rsidP="00C774BF">
            <w:pPr>
              <w:spacing w:line="265" w:lineRule="exact"/>
              <w:ind w:left="109"/>
              <w:rPr>
                <w:rFonts w:ascii="Times New Roman" w:eastAsia="Times New Roman" w:hAnsi="Times New Roman" w:cs="Times New Roman"/>
              </w:rPr>
            </w:pPr>
            <w:r w:rsidRPr="00A57010">
              <w:rPr>
                <w:rFonts w:ascii="Times New Roman" w:eastAsia="Times New Roman" w:hAnsi="Times New Roman" w:cs="Times New Roman"/>
              </w:rPr>
              <w:t>Физ.</w:t>
            </w:r>
          </w:p>
          <w:p w:rsidR="001E5F77" w:rsidRPr="00A57010" w:rsidRDefault="001E5F77" w:rsidP="00C774BF">
            <w:pPr>
              <w:spacing w:before="135"/>
              <w:ind w:left="109"/>
              <w:rPr>
                <w:rFonts w:ascii="Times New Roman" w:eastAsia="Times New Roman" w:hAnsi="Times New Roman" w:cs="Times New Roman"/>
              </w:rPr>
            </w:pPr>
            <w:r w:rsidRPr="00A57010">
              <w:rPr>
                <w:rFonts w:ascii="Times New Roman" w:eastAsia="Times New Roman" w:hAnsi="Times New Roman" w:cs="Times New Roman"/>
              </w:rPr>
              <w:t>лица</w:t>
            </w:r>
          </w:p>
        </w:tc>
        <w:tc>
          <w:tcPr>
            <w:tcW w:w="1741" w:type="dxa"/>
          </w:tcPr>
          <w:p w:rsidR="001E5F77" w:rsidRPr="00A57010" w:rsidRDefault="001E5F77" w:rsidP="00C774BF">
            <w:pPr>
              <w:spacing w:line="265" w:lineRule="exact"/>
              <w:ind w:left="111"/>
              <w:rPr>
                <w:rFonts w:ascii="Times New Roman" w:eastAsia="Times New Roman" w:hAnsi="Times New Roman" w:cs="Times New Roman"/>
              </w:rPr>
            </w:pPr>
            <w:r w:rsidRPr="00A57010">
              <w:rPr>
                <w:rFonts w:ascii="Times New Roman" w:eastAsia="Times New Roman" w:hAnsi="Times New Roman" w:cs="Times New Roman"/>
              </w:rPr>
              <w:t>Юридически</w:t>
            </w:r>
          </w:p>
          <w:p w:rsidR="001E5F77" w:rsidRPr="00A57010" w:rsidRDefault="001E5F77" w:rsidP="00C774BF">
            <w:pPr>
              <w:spacing w:before="135"/>
              <w:ind w:left="111"/>
              <w:rPr>
                <w:rFonts w:ascii="Times New Roman" w:eastAsia="Times New Roman" w:hAnsi="Times New Roman" w:cs="Times New Roman"/>
              </w:rPr>
            </w:pPr>
            <w:r w:rsidRPr="00A57010">
              <w:rPr>
                <w:rFonts w:ascii="Times New Roman" w:eastAsia="Times New Roman" w:hAnsi="Times New Roman" w:cs="Times New Roman"/>
              </w:rPr>
              <w:t>лица</w:t>
            </w:r>
          </w:p>
        </w:tc>
        <w:tc>
          <w:tcPr>
            <w:tcW w:w="2202" w:type="dxa"/>
          </w:tcPr>
          <w:p w:rsidR="001E5F77" w:rsidRPr="00A57010" w:rsidRDefault="001E5F77" w:rsidP="00C774BF">
            <w:pPr>
              <w:spacing w:line="265" w:lineRule="exact"/>
              <w:ind w:left="114"/>
              <w:rPr>
                <w:rFonts w:ascii="Times New Roman" w:eastAsia="Times New Roman" w:hAnsi="Times New Roman" w:cs="Times New Roman"/>
              </w:rPr>
            </w:pPr>
            <w:r w:rsidRPr="00A57010">
              <w:rPr>
                <w:rFonts w:ascii="Times New Roman" w:eastAsia="Times New Roman" w:hAnsi="Times New Roman" w:cs="Times New Roman"/>
              </w:rPr>
              <w:t>Религиозни</w:t>
            </w:r>
          </w:p>
          <w:p w:rsidR="001E5F77" w:rsidRPr="00A57010" w:rsidRDefault="001E5F77" w:rsidP="00C774BF">
            <w:pPr>
              <w:spacing w:before="135"/>
              <w:ind w:left="114"/>
              <w:rPr>
                <w:rFonts w:ascii="Times New Roman" w:eastAsia="Times New Roman" w:hAnsi="Times New Roman" w:cs="Times New Roman"/>
              </w:rPr>
            </w:pPr>
            <w:r w:rsidRPr="00A57010">
              <w:rPr>
                <w:rFonts w:ascii="Times New Roman" w:eastAsia="Times New Roman" w:hAnsi="Times New Roman" w:cs="Times New Roman"/>
              </w:rPr>
              <w:t>организации</w:t>
            </w:r>
          </w:p>
        </w:tc>
      </w:tr>
      <w:tr w:rsidR="001E5F77" w:rsidRPr="00A57010" w:rsidTr="00EB0639">
        <w:trPr>
          <w:trHeight w:val="402"/>
        </w:trPr>
        <w:tc>
          <w:tcPr>
            <w:tcW w:w="1826" w:type="dxa"/>
          </w:tcPr>
          <w:p w:rsidR="001E5F77" w:rsidRPr="00A57010" w:rsidRDefault="001E5F77" w:rsidP="00C774BF">
            <w:pPr>
              <w:spacing w:line="265" w:lineRule="exact"/>
              <w:ind w:left="107"/>
              <w:rPr>
                <w:rFonts w:ascii="Times New Roman" w:eastAsia="Times New Roman" w:hAnsi="Times New Roman" w:cs="Times New Roman"/>
                <w:b/>
              </w:rPr>
            </w:pPr>
            <w:r w:rsidRPr="00A57010">
              <w:rPr>
                <w:rFonts w:ascii="Times New Roman" w:eastAsia="Times New Roman" w:hAnsi="Times New Roman" w:cs="Times New Roman"/>
                <w:b/>
              </w:rPr>
              <w:t>%</w:t>
            </w:r>
          </w:p>
        </w:tc>
        <w:tc>
          <w:tcPr>
            <w:tcW w:w="1248" w:type="dxa"/>
          </w:tcPr>
          <w:p w:rsidR="001E5F77" w:rsidRPr="00A57010" w:rsidRDefault="001E5F77" w:rsidP="00C774BF">
            <w:pPr>
              <w:spacing w:line="265" w:lineRule="exact"/>
              <w:ind w:left="108"/>
              <w:rPr>
                <w:rFonts w:ascii="Times New Roman" w:eastAsia="Times New Roman" w:hAnsi="Times New Roman" w:cs="Times New Roman"/>
              </w:rPr>
            </w:pPr>
            <w:r w:rsidRPr="00A57010">
              <w:rPr>
                <w:rFonts w:ascii="Times New Roman" w:eastAsia="Times New Roman" w:hAnsi="Times New Roman" w:cs="Times New Roman"/>
              </w:rPr>
              <w:t>84,80</w:t>
            </w:r>
          </w:p>
        </w:tc>
        <w:tc>
          <w:tcPr>
            <w:tcW w:w="1247" w:type="dxa"/>
          </w:tcPr>
          <w:p w:rsidR="001E5F77" w:rsidRPr="00A57010" w:rsidRDefault="001E5F77" w:rsidP="00C774BF">
            <w:pPr>
              <w:spacing w:line="265" w:lineRule="exact"/>
              <w:ind w:left="108"/>
              <w:rPr>
                <w:rFonts w:ascii="Times New Roman" w:eastAsia="Times New Roman" w:hAnsi="Times New Roman" w:cs="Times New Roman"/>
              </w:rPr>
            </w:pPr>
            <w:r w:rsidRPr="00A57010">
              <w:rPr>
                <w:rFonts w:ascii="Times New Roman" w:eastAsia="Times New Roman" w:hAnsi="Times New Roman" w:cs="Times New Roman"/>
              </w:rPr>
              <w:t>8,70</w:t>
            </w:r>
          </w:p>
        </w:tc>
        <w:tc>
          <w:tcPr>
            <w:tcW w:w="1019" w:type="dxa"/>
          </w:tcPr>
          <w:p w:rsidR="001E5F77" w:rsidRPr="00A57010" w:rsidRDefault="001E5F77" w:rsidP="00C774BF">
            <w:pPr>
              <w:spacing w:line="265" w:lineRule="exact"/>
              <w:ind w:left="109"/>
              <w:rPr>
                <w:rFonts w:ascii="Times New Roman" w:eastAsia="Times New Roman" w:hAnsi="Times New Roman" w:cs="Times New Roman"/>
              </w:rPr>
            </w:pPr>
            <w:r w:rsidRPr="00A57010">
              <w:rPr>
                <w:rFonts w:ascii="Times New Roman" w:eastAsia="Times New Roman" w:hAnsi="Times New Roman" w:cs="Times New Roman"/>
              </w:rPr>
              <w:t>4,70</w:t>
            </w:r>
          </w:p>
        </w:tc>
        <w:tc>
          <w:tcPr>
            <w:tcW w:w="1741" w:type="dxa"/>
          </w:tcPr>
          <w:p w:rsidR="001E5F77" w:rsidRPr="00A57010" w:rsidRDefault="001E5F77" w:rsidP="00C774BF">
            <w:pPr>
              <w:spacing w:line="265" w:lineRule="exact"/>
              <w:ind w:left="111"/>
              <w:rPr>
                <w:rFonts w:ascii="Times New Roman" w:eastAsia="Times New Roman" w:hAnsi="Times New Roman" w:cs="Times New Roman"/>
              </w:rPr>
            </w:pPr>
            <w:r w:rsidRPr="00A57010">
              <w:rPr>
                <w:rFonts w:ascii="Times New Roman" w:eastAsia="Times New Roman" w:hAnsi="Times New Roman" w:cs="Times New Roman"/>
              </w:rPr>
              <w:t>1,70</w:t>
            </w:r>
          </w:p>
        </w:tc>
        <w:tc>
          <w:tcPr>
            <w:tcW w:w="2202" w:type="dxa"/>
          </w:tcPr>
          <w:p w:rsidR="001E5F77" w:rsidRPr="00A57010" w:rsidRDefault="001E5F77" w:rsidP="00C774BF">
            <w:pPr>
              <w:spacing w:line="265" w:lineRule="exact"/>
              <w:ind w:left="114"/>
              <w:rPr>
                <w:rFonts w:ascii="Times New Roman" w:eastAsia="Times New Roman" w:hAnsi="Times New Roman" w:cs="Times New Roman"/>
              </w:rPr>
            </w:pPr>
            <w:r w:rsidRPr="00A57010">
              <w:rPr>
                <w:rFonts w:ascii="Times New Roman" w:eastAsia="Times New Roman" w:hAnsi="Times New Roman" w:cs="Times New Roman"/>
              </w:rPr>
              <w:t>0,10</w:t>
            </w:r>
          </w:p>
        </w:tc>
      </w:tr>
    </w:tbl>
    <w:p w:rsidR="001E5F77" w:rsidRPr="00A57010" w:rsidRDefault="00EB0639" w:rsidP="00EB0639">
      <w:pPr>
        <w:spacing w:after="0" w:line="360" w:lineRule="auto"/>
        <w:ind w:right="-6" w:firstLine="720"/>
        <w:jc w:val="both"/>
        <w:rPr>
          <w:rFonts w:ascii="Times New Roman" w:eastAsia="Calibri" w:hAnsi="Times New Roman" w:cs="Times New Roman"/>
          <w:i/>
          <w:lang w:val="bg-BG"/>
        </w:rPr>
      </w:pPr>
      <w:r w:rsidRPr="00A57010">
        <w:rPr>
          <w:rFonts w:ascii="Times New Roman" w:eastAsia="Calibri" w:hAnsi="Times New Roman" w:cs="Times New Roman"/>
          <w:i/>
          <w:lang w:val="bg-BG"/>
        </w:rPr>
        <w:t>Графика № 8.</w:t>
      </w:r>
      <w:r w:rsidRPr="00A57010">
        <w:rPr>
          <w:lang w:val="ru-RU"/>
        </w:rPr>
        <w:t xml:space="preserve"> </w:t>
      </w:r>
      <w:r w:rsidRPr="00A57010">
        <w:rPr>
          <w:rFonts w:ascii="Times New Roman" w:eastAsia="Calibri" w:hAnsi="Times New Roman" w:cs="Times New Roman"/>
          <w:i/>
          <w:lang w:val="bg-BG"/>
        </w:rPr>
        <w:t>Таблица, собственост на горските територии в област Силистра</w:t>
      </w:r>
    </w:p>
    <w:p w:rsidR="00EB0639" w:rsidRPr="00A57010" w:rsidRDefault="00EB0639" w:rsidP="00EB0639">
      <w:pPr>
        <w:spacing w:after="0" w:line="360" w:lineRule="auto"/>
        <w:ind w:right="-6" w:firstLine="720"/>
        <w:jc w:val="both"/>
        <w:rPr>
          <w:rFonts w:ascii="Times New Roman" w:hAnsi="Times New Roman" w:cs="Times New Roman"/>
          <w:i/>
          <w:sz w:val="28"/>
          <w:szCs w:val="28"/>
          <w:lang w:val="ru-RU"/>
        </w:rPr>
      </w:pPr>
    </w:p>
    <w:p w:rsidR="001E5F77" w:rsidRPr="00A57010" w:rsidRDefault="001E5F77" w:rsidP="001E5F77">
      <w:pPr>
        <w:spacing w:after="0" w:line="360" w:lineRule="auto"/>
        <w:ind w:right="-6" w:firstLine="720"/>
        <w:jc w:val="both"/>
        <w:rPr>
          <w:rFonts w:ascii="Times New Roman" w:hAnsi="Times New Roman" w:cs="Times New Roman"/>
          <w:sz w:val="28"/>
          <w:szCs w:val="28"/>
          <w:lang w:val="ru-RU"/>
        </w:rPr>
      </w:pPr>
      <w:r w:rsidRPr="00A57010">
        <w:rPr>
          <w:rFonts w:ascii="Times New Roman" w:hAnsi="Times New Roman" w:cs="Times New Roman"/>
          <w:sz w:val="28"/>
          <w:szCs w:val="28"/>
          <w:lang w:val="ru-RU"/>
        </w:rPr>
        <w:t>В ДДС “Каракуз” наред с лесоустройствените дейности, основни дейности са и запазване и обогатяване на видовото разнообразие на дивеча. Характерни за района са следните видове дивеч-благороден елен, сърна, дива свиня, заек, лисица, яребица, фазан, пъдпъдък, гургулица, гривяк, зеленоглава патица, чакал. В малките водоеми обитателите са предимно шаран и карас. Ловната площ на цялото стопанство (в т.ч. и Община Кайнарджа) възлиза на 112649,4 ха, от които 20292,9 ха са в горски територии и 92356,5 ха – в земеделския фонд. Площта е разпределена между 34 ловни дружини. Ловната дейност е предоставена на ловните сдружения, ЛРД „Сокол-1”- гр. Силистра и ЛРД „Дулово” – гр. Дулово.</w:t>
      </w:r>
    </w:p>
    <w:p w:rsidR="001E5F77" w:rsidRPr="00A57010" w:rsidRDefault="001E5F77" w:rsidP="001E5F77">
      <w:pPr>
        <w:spacing w:after="0" w:line="360" w:lineRule="auto"/>
        <w:ind w:right="-6" w:firstLine="720"/>
        <w:jc w:val="both"/>
        <w:rPr>
          <w:rFonts w:ascii="Times New Roman" w:hAnsi="Times New Roman" w:cs="Times New Roman"/>
          <w:sz w:val="28"/>
          <w:szCs w:val="28"/>
          <w:lang w:val="ru-RU"/>
        </w:rPr>
      </w:pPr>
      <w:r w:rsidRPr="00A57010">
        <w:rPr>
          <w:rFonts w:ascii="Times New Roman" w:hAnsi="Times New Roman" w:cs="Times New Roman"/>
          <w:sz w:val="28"/>
          <w:szCs w:val="28"/>
          <w:lang w:val="ru-RU"/>
        </w:rPr>
        <w:t xml:space="preserve">В общината има създадени защитни пояси от акация, махалебка, гледичия, зарзали, габър и др. видове. По настоящем те са стопанисвани от държавата и са в лошо състояние: силно проредени, ограничени хоризонтално и вертикално. Създаването на нови горски масиви, отглеждането и дърводобива са традиционно планирани чрез лесоустройствени планове и в </w:t>
      </w:r>
      <w:r w:rsidRPr="00A57010">
        <w:rPr>
          <w:rFonts w:ascii="Times New Roman" w:hAnsi="Times New Roman" w:cs="Times New Roman"/>
          <w:sz w:val="28"/>
          <w:szCs w:val="28"/>
          <w:lang w:val="ru-RU"/>
        </w:rPr>
        <w:lastRenderedPageBreak/>
        <w:t>това направление не е необходима особена намеса от страна на общината. Община Кайнарджа има горски територии, възстановени по ЗСПЗЗ, на същите е изготвен ЛУП 2011-2021 (Лесоустройствен проект) и одобрен ГСП (Горско стопански план).</w:t>
      </w:r>
    </w:p>
    <w:p w:rsidR="001E5F77" w:rsidRPr="00A57010" w:rsidRDefault="001E5F77" w:rsidP="001E5F77">
      <w:pPr>
        <w:spacing w:after="0" w:line="360" w:lineRule="auto"/>
        <w:ind w:right="-6" w:firstLine="720"/>
        <w:jc w:val="both"/>
        <w:rPr>
          <w:rFonts w:ascii="Times New Roman" w:hAnsi="Times New Roman" w:cs="Times New Roman"/>
          <w:sz w:val="28"/>
          <w:szCs w:val="28"/>
          <w:lang w:val="ru-RU"/>
        </w:rPr>
      </w:pPr>
      <w:r w:rsidRPr="00A57010">
        <w:rPr>
          <w:rFonts w:ascii="Times New Roman" w:hAnsi="Times New Roman" w:cs="Times New Roman"/>
          <w:sz w:val="28"/>
          <w:szCs w:val="28"/>
          <w:lang w:val="ru-RU"/>
        </w:rPr>
        <w:t xml:space="preserve">През 2014 година са залесени 525 дка нови гори  по проекти, финансирани от ПРСР за периода 2007-2013 г. </w:t>
      </w:r>
    </w:p>
    <w:p w:rsidR="001E5F77" w:rsidRPr="001E5F77" w:rsidRDefault="001E5F77" w:rsidP="001E5F77">
      <w:pPr>
        <w:spacing w:after="0" w:line="360" w:lineRule="auto"/>
        <w:ind w:right="-6" w:firstLine="720"/>
        <w:jc w:val="both"/>
        <w:rPr>
          <w:rFonts w:ascii="Times New Roman" w:hAnsi="Times New Roman" w:cs="Times New Roman"/>
          <w:sz w:val="28"/>
          <w:szCs w:val="28"/>
          <w:lang w:val="ru-RU"/>
        </w:rPr>
      </w:pPr>
      <w:r w:rsidRPr="00A57010">
        <w:rPr>
          <w:rFonts w:ascii="Times New Roman" w:hAnsi="Times New Roman" w:cs="Times New Roman"/>
          <w:sz w:val="28"/>
          <w:szCs w:val="28"/>
          <w:lang w:val="ru-RU"/>
        </w:rPr>
        <w:t>Интересен факт е, че в миналото огромна част от територията е била покрита с букови гори, но са били унищожени, в следствие на което пресъхват и тукашните реки.</w:t>
      </w:r>
      <w:r w:rsidRPr="001E5F77">
        <w:rPr>
          <w:rFonts w:ascii="Times New Roman" w:hAnsi="Times New Roman" w:cs="Times New Roman"/>
          <w:sz w:val="28"/>
          <w:szCs w:val="28"/>
          <w:lang w:val="ru-RU"/>
        </w:rPr>
        <w:t xml:space="preserve"> </w:t>
      </w:r>
    </w:p>
    <w:p w:rsidR="00E92A46" w:rsidRPr="00BE2B92" w:rsidRDefault="00E92A46" w:rsidP="00E92A46">
      <w:pPr>
        <w:widowControl w:val="0"/>
        <w:autoSpaceDE w:val="0"/>
        <w:autoSpaceDN w:val="0"/>
        <w:spacing w:after="0" w:line="360" w:lineRule="auto"/>
        <w:ind w:firstLine="709"/>
        <w:jc w:val="both"/>
        <w:rPr>
          <w:rFonts w:ascii="Times New Roman" w:eastAsia="Calibri" w:hAnsi="Times New Roman" w:cs="Times New Roman"/>
          <w:sz w:val="28"/>
          <w:szCs w:val="28"/>
          <w:lang w:val="bg-BG"/>
        </w:rPr>
      </w:pPr>
    </w:p>
    <w:p w:rsidR="005D0C17" w:rsidRPr="00BE2B92" w:rsidRDefault="00B93882" w:rsidP="001536DC">
      <w:pPr>
        <w:pStyle w:val="10"/>
        <w:spacing w:before="0" w:line="360" w:lineRule="auto"/>
        <w:ind w:firstLine="720"/>
        <w:jc w:val="both"/>
        <w:rPr>
          <w:rFonts w:ascii="Times New Roman" w:hAnsi="Times New Roman" w:cs="Times New Roman"/>
          <w:b/>
          <w:color w:val="auto"/>
          <w:sz w:val="28"/>
          <w:szCs w:val="28"/>
          <w:lang w:val="bg-BG"/>
        </w:rPr>
      </w:pPr>
      <w:bookmarkStart w:id="28" w:name="_Toc96613189"/>
      <w:r>
        <w:rPr>
          <w:rFonts w:ascii="Times New Roman" w:hAnsi="Times New Roman" w:cs="Times New Roman"/>
          <w:b/>
          <w:color w:val="auto"/>
          <w:sz w:val="28"/>
          <w:szCs w:val="28"/>
          <w:lang w:val="bg-BG"/>
        </w:rPr>
        <w:t>7.6</w:t>
      </w:r>
      <w:r w:rsidR="005D0C17" w:rsidRPr="00BE2B92">
        <w:rPr>
          <w:rFonts w:ascii="Times New Roman" w:hAnsi="Times New Roman" w:cs="Times New Roman"/>
          <w:b/>
          <w:color w:val="auto"/>
          <w:sz w:val="28"/>
          <w:szCs w:val="28"/>
          <w:lang w:val="bg-BG"/>
        </w:rPr>
        <w:t xml:space="preserve"> Използване на биогорива и възобновяеми източници в транспорта</w:t>
      </w:r>
      <w:bookmarkEnd w:id="28"/>
      <w:r w:rsidR="005D0C17" w:rsidRPr="00BE2B92">
        <w:rPr>
          <w:rFonts w:ascii="Times New Roman" w:hAnsi="Times New Roman" w:cs="Times New Roman"/>
          <w:b/>
          <w:color w:val="auto"/>
          <w:sz w:val="28"/>
          <w:szCs w:val="28"/>
          <w:lang w:val="bg-BG"/>
        </w:rPr>
        <w:t xml:space="preserve"> </w:t>
      </w:r>
    </w:p>
    <w:p w:rsidR="004616D8" w:rsidRDefault="00E92A46" w:rsidP="00E92A46">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Община </w:t>
      </w:r>
      <w:r w:rsidR="00B2505B" w:rsidRPr="00BE2B92">
        <w:rPr>
          <w:rFonts w:ascii="Times New Roman" w:eastAsia="Calibri" w:hAnsi="Times New Roman" w:cs="Times New Roman"/>
          <w:sz w:val="28"/>
          <w:szCs w:val="28"/>
          <w:lang w:val="bg-BG"/>
        </w:rPr>
        <w:t>Кайнарджа</w:t>
      </w:r>
      <w:r w:rsidRPr="00BE2B92">
        <w:rPr>
          <w:rFonts w:ascii="Times New Roman" w:eastAsia="Calibri" w:hAnsi="Times New Roman" w:cs="Times New Roman"/>
          <w:sz w:val="28"/>
          <w:szCs w:val="28"/>
          <w:lang w:val="bg-BG"/>
        </w:rPr>
        <w:t xml:space="preserve"> не разполага с градски транспорт, при който използването на биогорива да доведе до икономии, тук политиката на държавата по отношение на МПС на територията на страната би дала отражение (например задължителния</w:t>
      </w:r>
      <w:r w:rsidR="00A57010">
        <w:rPr>
          <w:rFonts w:ascii="Times New Roman" w:eastAsia="Calibri" w:hAnsi="Times New Roman" w:cs="Times New Roman"/>
          <w:sz w:val="28"/>
          <w:szCs w:val="28"/>
          <w:lang w:val="bg-BG"/>
        </w:rPr>
        <w:t>т</w:t>
      </w:r>
      <w:r w:rsidRPr="00BE2B92">
        <w:rPr>
          <w:rFonts w:ascii="Times New Roman" w:eastAsia="Calibri" w:hAnsi="Times New Roman" w:cs="Times New Roman"/>
          <w:sz w:val="28"/>
          <w:szCs w:val="28"/>
          <w:lang w:val="bg-BG"/>
        </w:rPr>
        <w:t xml:space="preserve"> процент биодобавки в горивата</w:t>
      </w:r>
      <w:r w:rsidR="00A57010">
        <w:rPr>
          <w:rFonts w:ascii="Times New Roman" w:eastAsia="Calibri" w:hAnsi="Times New Roman" w:cs="Times New Roman"/>
          <w:sz w:val="28"/>
          <w:szCs w:val="28"/>
          <w:lang w:val="bg-BG"/>
        </w:rPr>
        <w:t>, което на практика се използва и се отчита ежегодно</w:t>
      </w:r>
      <w:r w:rsidRPr="00BE2B92">
        <w:rPr>
          <w:rFonts w:ascii="Times New Roman" w:eastAsia="Calibri" w:hAnsi="Times New Roman" w:cs="Times New Roman"/>
          <w:sz w:val="28"/>
          <w:szCs w:val="28"/>
          <w:lang w:val="bg-BG"/>
        </w:rPr>
        <w:t xml:space="preserve"> </w:t>
      </w:r>
      <w:r w:rsidR="00A57010">
        <w:rPr>
          <w:rFonts w:ascii="Times New Roman" w:eastAsia="Calibri" w:hAnsi="Times New Roman" w:cs="Times New Roman"/>
          <w:sz w:val="28"/>
          <w:szCs w:val="28"/>
          <w:lang w:val="bg-BG"/>
        </w:rPr>
        <w:t>– за диз</w:t>
      </w:r>
      <w:r w:rsidRPr="00BE2B92">
        <w:rPr>
          <w:rFonts w:ascii="Times New Roman" w:eastAsia="Calibri" w:hAnsi="Times New Roman" w:cs="Times New Roman"/>
          <w:sz w:val="28"/>
          <w:szCs w:val="28"/>
          <w:lang w:val="bg-BG"/>
        </w:rPr>
        <w:t>и др.)</w:t>
      </w:r>
    </w:p>
    <w:p w:rsidR="00F9632F" w:rsidRPr="00BE2B92" w:rsidRDefault="00F9632F" w:rsidP="00E92A46">
      <w:pPr>
        <w:widowControl w:val="0"/>
        <w:autoSpaceDE w:val="0"/>
        <w:autoSpaceDN w:val="0"/>
        <w:spacing w:after="0" w:line="360" w:lineRule="auto"/>
        <w:ind w:firstLine="709"/>
        <w:jc w:val="both"/>
        <w:rPr>
          <w:rFonts w:ascii="Times New Roman" w:eastAsia="Calibri" w:hAnsi="Times New Roman" w:cs="Times New Roman"/>
          <w:sz w:val="28"/>
          <w:szCs w:val="28"/>
          <w:lang w:val="bg-BG"/>
        </w:rPr>
      </w:pPr>
    </w:p>
    <w:p w:rsidR="005D0C17" w:rsidRPr="00BE2B92" w:rsidRDefault="0000674D" w:rsidP="0000674D">
      <w:pPr>
        <w:pStyle w:val="10"/>
        <w:spacing w:before="0" w:line="360" w:lineRule="auto"/>
        <w:ind w:firstLine="720"/>
        <w:jc w:val="both"/>
        <w:rPr>
          <w:rFonts w:ascii="Times New Roman" w:hAnsi="Times New Roman" w:cs="Times New Roman"/>
          <w:b/>
          <w:color w:val="auto"/>
          <w:sz w:val="28"/>
          <w:szCs w:val="28"/>
          <w:lang w:val="bg-BG"/>
        </w:rPr>
      </w:pPr>
      <w:bookmarkStart w:id="29" w:name="_Toc96591558"/>
      <w:bookmarkStart w:id="30" w:name="_Toc96613190"/>
      <w:r>
        <w:rPr>
          <w:rFonts w:ascii="Times New Roman" w:hAnsi="Times New Roman" w:cs="Times New Roman"/>
          <w:b/>
          <w:color w:val="auto"/>
          <w:sz w:val="28"/>
          <w:szCs w:val="28"/>
          <w:lang w:val="bg-BG"/>
        </w:rPr>
        <w:lastRenderedPageBreak/>
        <w:t>8</w:t>
      </w:r>
      <w:r w:rsidR="005D0C17" w:rsidRPr="00BE2B92">
        <w:rPr>
          <w:rFonts w:ascii="Times New Roman" w:hAnsi="Times New Roman" w:cs="Times New Roman"/>
          <w:b/>
          <w:color w:val="auto"/>
          <w:sz w:val="28"/>
          <w:szCs w:val="28"/>
          <w:lang w:val="bg-BG"/>
        </w:rPr>
        <w:t>. ИЗБОР НА МЕРКИ, ЗАЛОЖЕНИ В НПДЕВИ</w:t>
      </w:r>
      <w:bookmarkEnd w:id="29"/>
      <w:bookmarkEnd w:id="30"/>
    </w:p>
    <w:p w:rsidR="005D0C17" w:rsidRPr="00BE2B92" w:rsidRDefault="005D0C17" w:rsidP="001536DC">
      <w:pPr>
        <w:pStyle w:val="10"/>
        <w:spacing w:before="0" w:line="360" w:lineRule="auto"/>
        <w:ind w:firstLine="720"/>
        <w:jc w:val="both"/>
        <w:rPr>
          <w:rFonts w:ascii="Times New Roman" w:hAnsi="Times New Roman" w:cs="Times New Roman"/>
          <w:b/>
          <w:color w:val="auto"/>
          <w:sz w:val="28"/>
          <w:szCs w:val="28"/>
          <w:lang w:val="bg-BG"/>
        </w:rPr>
      </w:pPr>
      <w:r w:rsidRPr="00BE2B92">
        <w:rPr>
          <w:rFonts w:ascii="Times New Roman" w:hAnsi="Times New Roman" w:cs="Times New Roman"/>
          <w:b/>
          <w:color w:val="auto"/>
          <w:sz w:val="28"/>
          <w:szCs w:val="28"/>
          <w:lang w:val="bg-BG"/>
        </w:rPr>
        <w:t xml:space="preserve"> </w:t>
      </w:r>
      <w:bookmarkStart w:id="31" w:name="_Toc96613191"/>
      <w:r w:rsidR="00340709">
        <w:rPr>
          <w:rFonts w:ascii="Times New Roman" w:hAnsi="Times New Roman" w:cs="Times New Roman"/>
          <w:b/>
          <w:color w:val="auto"/>
          <w:sz w:val="28"/>
          <w:szCs w:val="28"/>
          <w:lang w:val="bg-BG"/>
        </w:rPr>
        <w:t>8</w:t>
      </w:r>
      <w:r w:rsidR="006505D6">
        <w:rPr>
          <w:rFonts w:ascii="Times New Roman" w:hAnsi="Times New Roman" w:cs="Times New Roman"/>
          <w:b/>
          <w:color w:val="auto"/>
          <w:sz w:val="28"/>
          <w:szCs w:val="28"/>
          <w:lang w:val="bg-BG"/>
        </w:rPr>
        <w:t>.1</w:t>
      </w:r>
      <w:r w:rsidRPr="00BE2B92">
        <w:rPr>
          <w:rFonts w:ascii="Times New Roman" w:hAnsi="Times New Roman" w:cs="Times New Roman"/>
          <w:b/>
          <w:color w:val="auto"/>
          <w:sz w:val="28"/>
          <w:szCs w:val="28"/>
          <w:lang w:val="bg-BG"/>
        </w:rPr>
        <w:t xml:space="preserve"> Административни мерки</w:t>
      </w:r>
      <w:bookmarkEnd w:id="31"/>
      <w:r w:rsidRPr="00BE2B92">
        <w:rPr>
          <w:rFonts w:ascii="Times New Roman" w:hAnsi="Times New Roman" w:cs="Times New Roman"/>
          <w:b/>
          <w:color w:val="auto"/>
          <w:sz w:val="28"/>
          <w:szCs w:val="28"/>
          <w:lang w:val="bg-BG"/>
        </w:rPr>
        <w:t xml:space="preserve"> </w:t>
      </w:r>
    </w:p>
    <w:p w:rsidR="006B2E09" w:rsidRPr="006F1A10" w:rsidRDefault="006B2E09" w:rsidP="006B2E09">
      <w:pPr>
        <w:pStyle w:val="10"/>
        <w:spacing w:before="0" w:line="360" w:lineRule="auto"/>
        <w:ind w:firstLine="720"/>
        <w:jc w:val="both"/>
        <w:rPr>
          <w:rFonts w:ascii="Times New Roman" w:eastAsia="Calibri" w:hAnsi="Times New Roman" w:cs="Times New Roman"/>
          <w:color w:val="auto"/>
          <w:sz w:val="28"/>
          <w:szCs w:val="28"/>
          <w:lang w:val="ru-RU"/>
        </w:rPr>
      </w:pPr>
      <w:bookmarkStart w:id="32" w:name="_Toc96613192"/>
      <w:r w:rsidRPr="006F1A10">
        <w:rPr>
          <w:rFonts w:ascii="Times New Roman" w:eastAsia="Calibri" w:hAnsi="Times New Roman" w:cs="Times New Roman"/>
          <w:color w:val="auto"/>
          <w:sz w:val="28"/>
          <w:szCs w:val="28"/>
          <w:lang w:val="ru-RU"/>
        </w:rPr>
        <w:t>Предложените административни мерки целят да създадат благоприятни условия за изпълнение на конкретни дейности и да допринесат за постигането на трите специфични цели на програмата. Планирани са три административни мерки:</w:t>
      </w:r>
      <w:bookmarkEnd w:id="32"/>
    </w:p>
    <w:p w:rsidR="00134639" w:rsidRDefault="00340709" w:rsidP="001536DC">
      <w:pPr>
        <w:pStyle w:val="10"/>
        <w:spacing w:before="0" w:line="360" w:lineRule="auto"/>
        <w:ind w:firstLine="720"/>
        <w:jc w:val="both"/>
        <w:rPr>
          <w:rFonts w:ascii="Times New Roman" w:eastAsia="Calibri" w:hAnsi="Times New Roman" w:cs="Times New Roman"/>
          <w:color w:val="auto"/>
          <w:sz w:val="28"/>
          <w:szCs w:val="28"/>
          <w:lang w:val="ru-RU"/>
        </w:rPr>
      </w:pPr>
      <w:bookmarkStart w:id="33" w:name="_Toc96591483"/>
      <w:bookmarkStart w:id="34" w:name="_Toc96591563"/>
      <w:bookmarkStart w:id="35" w:name="_Toc96613193"/>
      <w:r>
        <w:rPr>
          <w:rFonts w:ascii="Times New Roman" w:eastAsia="Calibri" w:hAnsi="Times New Roman" w:cs="Times New Roman"/>
          <w:color w:val="auto"/>
          <w:sz w:val="28"/>
          <w:szCs w:val="28"/>
          <w:lang w:val="ru-RU"/>
        </w:rPr>
        <w:t>8</w:t>
      </w:r>
      <w:r w:rsidR="00865F23" w:rsidRPr="006F1A10">
        <w:rPr>
          <w:rFonts w:ascii="Times New Roman" w:eastAsia="Calibri" w:hAnsi="Times New Roman" w:cs="Times New Roman"/>
          <w:color w:val="auto"/>
          <w:sz w:val="28"/>
          <w:szCs w:val="28"/>
          <w:lang w:val="ru-RU"/>
        </w:rPr>
        <w:t>.1.</w:t>
      </w:r>
      <w:r w:rsidR="006B2E09" w:rsidRPr="006F1A10">
        <w:rPr>
          <w:rFonts w:ascii="Times New Roman" w:eastAsia="Calibri" w:hAnsi="Times New Roman" w:cs="Times New Roman"/>
          <w:color w:val="auto"/>
          <w:sz w:val="28"/>
          <w:szCs w:val="28"/>
          <w:lang w:val="ru-RU"/>
        </w:rPr>
        <w:t>1</w:t>
      </w:r>
      <w:r w:rsidR="00865F23" w:rsidRPr="006F1A10">
        <w:rPr>
          <w:rFonts w:ascii="Times New Roman" w:eastAsia="Calibri" w:hAnsi="Times New Roman" w:cs="Times New Roman"/>
          <w:color w:val="auto"/>
          <w:sz w:val="28"/>
          <w:szCs w:val="28"/>
          <w:lang w:val="ru-RU"/>
        </w:rPr>
        <w:t xml:space="preserve">. </w:t>
      </w:r>
      <w:r w:rsidR="006B2E09" w:rsidRPr="006F1A10">
        <w:rPr>
          <w:rFonts w:ascii="Times New Roman" w:eastAsia="Calibri" w:hAnsi="Times New Roman" w:cs="Times New Roman"/>
          <w:color w:val="auto"/>
          <w:sz w:val="28"/>
          <w:szCs w:val="28"/>
          <w:lang w:val="ru-RU"/>
        </w:rPr>
        <w:t>Подобряване на</w:t>
      </w:r>
      <w:r w:rsidR="006F1A10">
        <w:rPr>
          <w:rFonts w:ascii="Times New Roman" w:eastAsia="Calibri" w:hAnsi="Times New Roman" w:cs="Times New Roman"/>
          <w:color w:val="auto"/>
          <w:sz w:val="28"/>
          <w:szCs w:val="28"/>
          <w:lang w:val="ru-RU"/>
        </w:rPr>
        <w:t xml:space="preserve"> обслужването от</w:t>
      </w:r>
      <w:r w:rsidR="006B2E09" w:rsidRPr="006F1A10">
        <w:rPr>
          <w:rFonts w:ascii="Times New Roman" w:eastAsia="Calibri" w:hAnsi="Times New Roman" w:cs="Times New Roman"/>
          <w:color w:val="auto"/>
          <w:sz w:val="28"/>
          <w:szCs w:val="28"/>
          <w:lang w:val="ru-RU"/>
        </w:rPr>
        <w:t xml:space="preserve"> </w:t>
      </w:r>
      <w:r w:rsidR="00865F23" w:rsidRPr="006F1A10">
        <w:rPr>
          <w:rFonts w:ascii="Times New Roman" w:eastAsia="Calibri" w:hAnsi="Times New Roman" w:cs="Times New Roman"/>
          <w:color w:val="auto"/>
          <w:sz w:val="28"/>
          <w:szCs w:val="28"/>
          <w:lang w:val="ru-RU"/>
        </w:rPr>
        <w:t>Общин</w:t>
      </w:r>
      <w:r w:rsidR="006F1A10">
        <w:rPr>
          <w:rFonts w:ascii="Times New Roman" w:eastAsia="Calibri" w:hAnsi="Times New Roman" w:cs="Times New Roman"/>
          <w:color w:val="auto"/>
          <w:sz w:val="28"/>
          <w:szCs w:val="28"/>
          <w:lang w:val="ru-RU"/>
        </w:rPr>
        <w:t xml:space="preserve">ската администрация при подготовката на документация, разрешителни и </w:t>
      </w:r>
      <w:r w:rsidR="00865F23" w:rsidRPr="006F1A10">
        <w:rPr>
          <w:rFonts w:ascii="Times New Roman" w:eastAsia="Calibri" w:hAnsi="Times New Roman" w:cs="Times New Roman"/>
          <w:color w:val="auto"/>
          <w:sz w:val="28"/>
          <w:szCs w:val="28"/>
          <w:lang w:val="ru-RU"/>
        </w:rPr>
        <w:t xml:space="preserve"> реализирането на проекти за достъп и потребление на електрическа енергия, топлинна енергия и енергия за охлаждане от възобновяеми източни</w:t>
      </w:r>
      <w:r w:rsidR="009918BC" w:rsidRPr="006F1A10">
        <w:rPr>
          <w:rFonts w:ascii="Times New Roman" w:eastAsia="Calibri" w:hAnsi="Times New Roman" w:cs="Times New Roman"/>
          <w:color w:val="auto"/>
          <w:sz w:val="28"/>
          <w:szCs w:val="28"/>
          <w:lang w:val="ru-RU"/>
        </w:rPr>
        <w:t>ци</w:t>
      </w:r>
      <w:r w:rsidR="00865F23" w:rsidRPr="006F1A10">
        <w:rPr>
          <w:rFonts w:ascii="Times New Roman" w:eastAsia="Calibri" w:hAnsi="Times New Roman" w:cs="Times New Roman"/>
          <w:color w:val="auto"/>
          <w:sz w:val="28"/>
          <w:szCs w:val="28"/>
          <w:lang w:val="ru-RU"/>
        </w:rPr>
        <w:t>, както и за потребление на биогорива и енергия от възобновяеми източници в транспорта</w:t>
      </w:r>
      <w:r w:rsidR="00134639">
        <w:rPr>
          <w:rFonts w:ascii="Times New Roman" w:eastAsia="Calibri" w:hAnsi="Times New Roman" w:cs="Times New Roman"/>
          <w:color w:val="auto"/>
          <w:sz w:val="28"/>
          <w:szCs w:val="28"/>
          <w:lang w:val="ru-RU"/>
        </w:rPr>
        <w:t xml:space="preserve">. </w:t>
      </w:r>
    </w:p>
    <w:p w:rsidR="006B2E09" w:rsidRPr="006F1A10" w:rsidRDefault="00340709" w:rsidP="006B2E09">
      <w:pPr>
        <w:pStyle w:val="10"/>
        <w:spacing w:before="0" w:line="360" w:lineRule="auto"/>
        <w:ind w:firstLine="720"/>
        <w:jc w:val="both"/>
        <w:rPr>
          <w:rFonts w:ascii="Times New Roman" w:eastAsia="Calibri" w:hAnsi="Times New Roman" w:cs="Times New Roman"/>
          <w:color w:val="auto"/>
          <w:sz w:val="28"/>
          <w:szCs w:val="28"/>
          <w:lang w:val="ru-RU"/>
        </w:rPr>
      </w:pPr>
      <w:bookmarkStart w:id="36" w:name="_Toc96591484"/>
      <w:bookmarkStart w:id="37" w:name="_Toc96591564"/>
      <w:bookmarkStart w:id="38" w:name="_Toc96613194"/>
      <w:bookmarkEnd w:id="33"/>
      <w:bookmarkEnd w:id="34"/>
      <w:bookmarkEnd w:id="35"/>
      <w:r>
        <w:rPr>
          <w:rFonts w:ascii="Times New Roman" w:eastAsia="Calibri" w:hAnsi="Times New Roman" w:cs="Times New Roman"/>
          <w:color w:val="auto"/>
          <w:sz w:val="28"/>
          <w:szCs w:val="28"/>
          <w:lang w:val="ru-RU"/>
        </w:rPr>
        <w:t>8</w:t>
      </w:r>
      <w:r w:rsidR="00865F23" w:rsidRPr="006F1A10">
        <w:rPr>
          <w:rFonts w:ascii="Times New Roman" w:eastAsia="Calibri" w:hAnsi="Times New Roman" w:cs="Times New Roman"/>
          <w:color w:val="auto"/>
          <w:sz w:val="28"/>
          <w:szCs w:val="28"/>
          <w:lang w:val="ru-RU"/>
        </w:rPr>
        <w:t>.1.</w:t>
      </w:r>
      <w:r w:rsidR="006B2E09" w:rsidRPr="006F1A10">
        <w:rPr>
          <w:rFonts w:ascii="Times New Roman" w:eastAsia="Calibri" w:hAnsi="Times New Roman" w:cs="Times New Roman"/>
          <w:color w:val="auto"/>
          <w:sz w:val="28"/>
          <w:szCs w:val="28"/>
          <w:lang w:val="ru-RU"/>
        </w:rPr>
        <w:t>2</w:t>
      </w:r>
      <w:r w:rsidR="00865F23" w:rsidRPr="006F1A10">
        <w:rPr>
          <w:rFonts w:ascii="Times New Roman" w:eastAsia="Calibri" w:hAnsi="Times New Roman" w:cs="Times New Roman"/>
          <w:color w:val="auto"/>
          <w:sz w:val="28"/>
          <w:szCs w:val="28"/>
          <w:lang w:val="ru-RU"/>
        </w:rPr>
        <w:t xml:space="preserve">. </w:t>
      </w:r>
      <w:bookmarkStart w:id="39" w:name="_Toc96591485"/>
      <w:bookmarkStart w:id="40" w:name="_Toc96591565"/>
      <w:bookmarkEnd w:id="36"/>
      <w:bookmarkEnd w:id="37"/>
      <w:r w:rsidR="006B2E09" w:rsidRPr="006F1A10">
        <w:rPr>
          <w:rFonts w:ascii="Times New Roman" w:eastAsia="Calibri" w:hAnsi="Times New Roman" w:cs="Times New Roman"/>
          <w:color w:val="auto"/>
          <w:sz w:val="28"/>
          <w:szCs w:val="28"/>
          <w:lang w:val="ru-RU"/>
        </w:rPr>
        <w:t>Надграждане на знанията и уменията на общинските експерти във връзка с изпълнението на проекти и дейности за насърчаване използването на енергия от ВИ</w:t>
      </w:r>
      <w:bookmarkEnd w:id="38"/>
      <w:r w:rsidR="00B45AF5">
        <w:rPr>
          <w:rFonts w:ascii="Times New Roman" w:eastAsia="Calibri" w:hAnsi="Times New Roman" w:cs="Times New Roman"/>
          <w:color w:val="auto"/>
          <w:sz w:val="28"/>
          <w:szCs w:val="28"/>
          <w:lang w:val="ru-RU"/>
        </w:rPr>
        <w:t>;</w:t>
      </w:r>
      <w:r w:rsidR="006B2E09" w:rsidRPr="006F1A10">
        <w:rPr>
          <w:rFonts w:ascii="Times New Roman" w:eastAsia="Calibri" w:hAnsi="Times New Roman" w:cs="Times New Roman"/>
          <w:color w:val="auto"/>
          <w:sz w:val="28"/>
          <w:szCs w:val="28"/>
          <w:lang w:val="ru-RU"/>
        </w:rPr>
        <w:t xml:space="preserve"> </w:t>
      </w:r>
    </w:p>
    <w:p w:rsidR="00865F23" w:rsidRPr="006F1A10" w:rsidRDefault="00340709" w:rsidP="006B2E09">
      <w:pPr>
        <w:pStyle w:val="10"/>
        <w:spacing w:before="0" w:line="360" w:lineRule="auto"/>
        <w:ind w:firstLine="720"/>
        <w:jc w:val="both"/>
        <w:rPr>
          <w:rFonts w:ascii="Times New Roman" w:eastAsia="Calibri" w:hAnsi="Times New Roman" w:cs="Times New Roman"/>
          <w:color w:val="auto"/>
          <w:sz w:val="28"/>
          <w:szCs w:val="28"/>
          <w:lang w:val="ru-RU"/>
        </w:rPr>
      </w:pPr>
      <w:bookmarkStart w:id="41" w:name="_Toc96613195"/>
      <w:r>
        <w:rPr>
          <w:rFonts w:ascii="Times New Roman" w:eastAsia="Calibri" w:hAnsi="Times New Roman" w:cs="Times New Roman"/>
          <w:color w:val="auto"/>
          <w:sz w:val="28"/>
          <w:szCs w:val="28"/>
          <w:lang w:val="ru-RU"/>
        </w:rPr>
        <w:t>8</w:t>
      </w:r>
      <w:r w:rsidR="00865F23" w:rsidRPr="006F1A10">
        <w:rPr>
          <w:rFonts w:ascii="Times New Roman" w:eastAsia="Calibri" w:hAnsi="Times New Roman" w:cs="Times New Roman"/>
          <w:color w:val="auto"/>
          <w:sz w:val="28"/>
          <w:szCs w:val="28"/>
          <w:lang w:val="ru-RU"/>
        </w:rPr>
        <w:t>.1.</w:t>
      </w:r>
      <w:r w:rsidR="006B2E09" w:rsidRPr="006F1A10">
        <w:rPr>
          <w:rFonts w:ascii="Times New Roman" w:eastAsia="Calibri" w:hAnsi="Times New Roman" w:cs="Times New Roman"/>
          <w:color w:val="auto"/>
          <w:sz w:val="28"/>
          <w:szCs w:val="28"/>
          <w:lang w:val="ru-RU"/>
        </w:rPr>
        <w:t>3</w:t>
      </w:r>
      <w:r w:rsidR="00865F23" w:rsidRPr="006F1A10">
        <w:rPr>
          <w:rFonts w:ascii="Times New Roman" w:eastAsia="Calibri" w:hAnsi="Times New Roman" w:cs="Times New Roman"/>
          <w:color w:val="auto"/>
          <w:sz w:val="28"/>
          <w:szCs w:val="28"/>
          <w:lang w:val="ru-RU"/>
        </w:rPr>
        <w:t xml:space="preserve">. </w:t>
      </w:r>
      <w:bookmarkEnd w:id="39"/>
      <w:bookmarkEnd w:id="40"/>
      <w:r w:rsidR="006B2E09" w:rsidRPr="006F1A10">
        <w:rPr>
          <w:rFonts w:ascii="Times New Roman" w:eastAsia="Calibri" w:hAnsi="Times New Roman" w:cs="Times New Roman"/>
          <w:color w:val="auto"/>
          <w:sz w:val="28"/>
          <w:szCs w:val="28"/>
          <w:lang w:val="ru-RU"/>
        </w:rPr>
        <w:t>Подобряване на информираността на гражданите относно възможностите за използване на енергия от ВИ</w:t>
      </w:r>
      <w:bookmarkEnd w:id="41"/>
      <w:r w:rsidR="00B45AF5">
        <w:rPr>
          <w:rFonts w:ascii="Times New Roman" w:eastAsia="Calibri" w:hAnsi="Times New Roman" w:cs="Times New Roman"/>
          <w:color w:val="auto"/>
          <w:sz w:val="28"/>
          <w:szCs w:val="28"/>
          <w:lang w:val="ru-RU"/>
        </w:rPr>
        <w:t xml:space="preserve">, като ежегодно ще се изработва и разпространява </w:t>
      </w:r>
      <w:r w:rsidR="00AB2631">
        <w:rPr>
          <w:rFonts w:ascii="Times New Roman" w:eastAsia="Calibri" w:hAnsi="Times New Roman" w:cs="Times New Roman"/>
          <w:color w:val="auto"/>
          <w:sz w:val="28"/>
          <w:szCs w:val="28"/>
          <w:lang w:val="ru-RU"/>
        </w:rPr>
        <w:t xml:space="preserve">информационна брошура </w:t>
      </w:r>
      <w:r w:rsidR="00B45AF5">
        <w:rPr>
          <w:rFonts w:ascii="Times New Roman" w:eastAsia="Calibri" w:hAnsi="Times New Roman" w:cs="Times New Roman"/>
          <w:color w:val="auto"/>
          <w:sz w:val="28"/>
          <w:szCs w:val="28"/>
          <w:lang w:val="ru-RU"/>
        </w:rPr>
        <w:t>- чрез кметовете и кметските наместници между хората от  населените места на община Кайнарджа .</w:t>
      </w:r>
    </w:p>
    <w:p w:rsidR="00865F23" w:rsidRDefault="00865F23" w:rsidP="001536DC">
      <w:pPr>
        <w:pStyle w:val="10"/>
        <w:spacing w:before="0" w:line="360" w:lineRule="auto"/>
        <w:ind w:firstLine="720"/>
        <w:jc w:val="both"/>
        <w:rPr>
          <w:rFonts w:ascii="Times New Roman" w:eastAsia="Calibri" w:hAnsi="Times New Roman" w:cs="Times New Roman"/>
          <w:b/>
          <w:color w:val="auto"/>
          <w:sz w:val="28"/>
          <w:szCs w:val="28"/>
          <w:lang w:val="bg-BG"/>
        </w:rPr>
      </w:pPr>
    </w:p>
    <w:p w:rsidR="005D0C17" w:rsidRPr="00BE2B92" w:rsidRDefault="00340709" w:rsidP="001536DC">
      <w:pPr>
        <w:pStyle w:val="10"/>
        <w:spacing w:before="0" w:line="360" w:lineRule="auto"/>
        <w:ind w:firstLine="720"/>
        <w:jc w:val="both"/>
        <w:rPr>
          <w:rFonts w:ascii="Times New Roman" w:hAnsi="Times New Roman" w:cs="Times New Roman"/>
          <w:b/>
          <w:color w:val="auto"/>
          <w:sz w:val="28"/>
          <w:szCs w:val="28"/>
          <w:lang w:val="bg-BG"/>
        </w:rPr>
      </w:pPr>
      <w:bookmarkStart w:id="42" w:name="_Toc96613196"/>
      <w:r>
        <w:rPr>
          <w:rFonts w:ascii="Times New Roman" w:hAnsi="Times New Roman" w:cs="Times New Roman"/>
          <w:b/>
          <w:color w:val="auto"/>
          <w:sz w:val="28"/>
          <w:szCs w:val="28"/>
          <w:lang w:val="bg-BG"/>
        </w:rPr>
        <w:t>8</w:t>
      </w:r>
      <w:r w:rsidR="006505D6">
        <w:rPr>
          <w:rFonts w:ascii="Times New Roman" w:hAnsi="Times New Roman" w:cs="Times New Roman"/>
          <w:b/>
          <w:color w:val="auto"/>
          <w:sz w:val="28"/>
          <w:szCs w:val="28"/>
          <w:lang w:val="bg-BG"/>
        </w:rPr>
        <w:t>.2</w:t>
      </w:r>
      <w:r w:rsidR="005D0C17" w:rsidRPr="00BE2B92">
        <w:rPr>
          <w:rFonts w:ascii="Times New Roman" w:hAnsi="Times New Roman" w:cs="Times New Roman"/>
          <w:b/>
          <w:color w:val="auto"/>
          <w:sz w:val="28"/>
          <w:szCs w:val="28"/>
          <w:lang w:val="bg-BG"/>
        </w:rPr>
        <w:t xml:space="preserve"> Финансово-технически мерки</w:t>
      </w:r>
      <w:bookmarkEnd w:id="42"/>
      <w:r w:rsidR="005D0C17" w:rsidRPr="00BE2B92">
        <w:rPr>
          <w:rFonts w:ascii="Times New Roman" w:hAnsi="Times New Roman" w:cs="Times New Roman"/>
          <w:b/>
          <w:color w:val="auto"/>
          <w:sz w:val="28"/>
          <w:szCs w:val="28"/>
          <w:lang w:val="bg-BG"/>
        </w:rPr>
        <w:t xml:space="preserve"> </w:t>
      </w:r>
    </w:p>
    <w:p w:rsidR="006B2E09" w:rsidRPr="006F1A10" w:rsidRDefault="00340709" w:rsidP="006B2E09">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ru-RU"/>
        </w:rPr>
        <w:t>8</w:t>
      </w:r>
      <w:r w:rsidR="006B2E09" w:rsidRPr="006F1A10">
        <w:rPr>
          <w:rFonts w:ascii="Times New Roman" w:eastAsia="Calibri" w:hAnsi="Times New Roman" w:cs="Times New Roman"/>
          <w:sz w:val="28"/>
          <w:szCs w:val="28"/>
          <w:lang w:val="ru-RU"/>
        </w:rPr>
        <w:t xml:space="preserve">.2.1. </w:t>
      </w:r>
      <w:r w:rsidR="00865F23" w:rsidRPr="006F1A10">
        <w:rPr>
          <w:rFonts w:ascii="Times New Roman" w:eastAsia="Calibri" w:hAnsi="Times New Roman" w:cs="Times New Roman"/>
          <w:sz w:val="28"/>
          <w:szCs w:val="28"/>
          <w:lang w:val="bg-BG"/>
        </w:rPr>
        <w:t xml:space="preserve"> </w:t>
      </w:r>
      <w:r w:rsidR="006B2E09" w:rsidRPr="006F1A10">
        <w:rPr>
          <w:rFonts w:ascii="Times New Roman" w:eastAsia="Calibri" w:hAnsi="Times New Roman" w:cs="Times New Roman"/>
          <w:sz w:val="28"/>
          <w:szCs w:val="28"/>
          <w:lang w:val="bg-BG"/>
        </w:rPr>
        <w:t>Изготвяне на предпроектни проучвания за използване на енергия от ВИ в конкретни подходящи общински обекти.</w:t>
      </w:r>
    </w:p>
    <w:p w:rsidR="00865F23" w:rsidRPr="006F1A10" w:rsidRDefault="00340709" w:rsidP="006B2E09">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ru-RU"/>
        </w:rPr>
        <w:t>8</w:t>
      </w:r>
      <w:r w:rsidR="006B2E09" w:rsidRPr="006F1A10">
        <w:rPr>
          <w:rFonts w:ascii="Times New Roman" w:eastAsia="Calibri" w:hAnsi="Times New Roman" w:cs="Times New Roman"/>
          <w:sz w:val="28"/>
          <w:szCs w:val="28"/>
          <w:lang w:val="ru-RU"/>
        </w:rPr>
        <w:t xml:space="preserve">.2.2. </w:t>
      </w:r>
      <w:r w:rsidR="006B2E09" w:rsidRPr="006F1A10">
        <w:rPr>
          <w:rFonts w:ascii="Times New Roman" w:eastAsia="Calibri" w:hAnsi="Times New Roman" w:cs="Times New Roman"/>
          <w:sz w:val="28"/>
          <w:szCs w:val="28"/>
          <w:lang w:val="bg-BG"/>
        </w:rPr>
        <w:t>О</w:t>
      </w:r>
      <w:r w:rsidR="00865F23" w:rsidRPr="006F1A10">
        <w:rPr>
          <w:rFonts w:ascii="Times New Roman" w:eastAsia="Calibri" w:hAnsi="Times New Roman" w:cs="Times New Roman"/>
          <w:sz w:val="28"/>
          <w:szCs w:val="28"/>
          <w:lang w:val="bg-BG"/>
        </w:rPr>
        <w:t>сновен ремонт или преустройство на сгради общинска собственост или сгради със смесен режим на собственост – държавна и общинска</w:t>
      </w:r>
      <w:r w:rsidR="00AD6D49">
        <w:rPr>
          <w:rFonts w:ascii="Times New Roman" w:eastAsia="Calibri" w:hAnsi="Times New Roman" w:cs="Times New Roman"/>
          <w:sz w:val="28"/>
          <w:szCs w:val="28"/>
          <w:lang w:val="bg-BG"/>
        </w:rPr>
        <w:t>, като се акцентира на повишаване на енергийната ефективност</w:t>
      </w:r>
      <w:r w:rsidR="00865F23" w:rsidRPr="006F1A10">
        <w:rPr>
          <w:rFonts w:ascii="Times New Roman" w:eastAsia="Calibri" w:hAnsi="Times New Roman" w:cs="Times New Roman"/>
          <w:sz w:val="28"/>
          <w:szCs w:val="28"/>
          <w:lang w:val="bg-BG"/>
        </w:rPr>
        <w:t xml:space="preserve">; </w:t>
      </w:r>
    </w:p>
    <w:p w:rsidR="00865F23" w:rsidRPr="006F1A10" w:rsidRDefault="00340709" w:rsidP="00865F23">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ru-RU"/>
        </w:rPr>
        <w:t>8</w:t>
      </w:r>
      <w:r w:rsidR="006B2E09" w:rsidRPr="006F1A10">
        <w:rPr>
          <w:rFonts w:ascii="Times New Roman" w:eastAsia="Calibri" w:hAnsi="Times New Roman" w:cs="Times New Roman"/>
          <w:sz w:val="28"/>
          <w:szCs w:val="28"/>
          <w:lang w:val="ru-RU"/>
        </w:rPr>
        <w:t xml:space="preserve">.2.3. </w:t>
      </w:r>
      <w:r w:rsidR="00B45AF5">
        <w:rPr>
          <w:rFonts w:ascii="Times New Roman" w:eastAsia="Calibri" w:hAnsi="Times New Roman" w:cs="Times New Roman"/>
          <w:sz w:val="28"/>
          <w:szCs w:val="28"/>
          <w:lang w:val="bg-BG"/>
        </w:rPr>
        <w:t xml:space="preserve"> Продължаване и</w:t>
      </w:r>
      <w:r w:rsidR="00865F23" w:rsidRPr="006F1A10">
        <w:rPr>
          <w:rFonts w:ascii="Times New Roman" w:eastAsia="Calibri" w:hAnsi="Times New Roman" w:cs="Times New Roman"/>
          <w:sz w:val="28"/>
          <w:szCs w:val="28"/>
          <w:lang w:val="bg-BG"/>
        </w:rPr>
        <w:t>зграждане</w:t>
      </w:r>
      <w:r w:rsidR="00B45AF5">
        <w:rPr>
          <w:rFonts w:ascii="Times New Roman" w:eastAsia="Calibri" w:hAnsi="Times New Roman" w:cs="Times New Roman"/>
          <w:sz w:val="28"/>
          <w:szCs w:val="28"/>
          <w:lang w:val="bg-BG"/>
        </w:rPr>
        <w:t>то на малки ФтЕЦ</w:t>
      </w:r>
      <w:r w:rsidR="00865F23" w:rsidRPr="006F1A10">
        <w:rPr>
          <w:rFonts w:ascii="Times New Roman" w:eastAsia="Calibri" w:hAnsi="Times New Roman" w:cs="Times New Roman"/>
          <w:sz w:val="28"/>
          <w:szCs w:val="28"/>
          <w:lang w:val="bg-BG"/>
        </w:rPr>
        <w:t xml:space="preserve"> върху покривните </w:t>
      </w:r>
      <w:r w:rsidR="00865F23" w:rsidRPr="006F1A10">
        <w:rPr>
          <w:rFonts w:ascii="Times New Roman" w:eastAsia="Calibri" w:hAnsi="Times New Roman" w:cs="Times New Roman"/>
          <w:sz w:val="28"/>
          <w:szCs w:val="28"/>
          <w:lang w:val="bg-BG"/>
        </w:rPr>
        <w:lastRenderedPageBreak/>
        <w:t>конструкции на сгради общинска собственост или сгради със смесен режим на собственост – държавна и общинска;</w:t>
      </w:r>
    </w:p>
    <w:p w:rsidR="001E3F6C" w:rsidRPr="006F1A10" w:rsidRDefault="00340709" w:rsidP="00865F23">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ru-RU"/>
        </w:rPr>
        <w:t>8</w:t>
      </w:r>
      <w:r w:rsidR="006B2E09" w:rsidRPr="006F1A10">
        <w:rPr>
          <w:rFonts w:ascii="Times New Roman" w:eastAsia="Calibri" w:hAnsi="Times New Roman" w:cs="Times New Roman"/>
          <w:sz w:val="28"/>
          <w:szCs w:val="28"/>
          <w:lang w:val="ru-RU"/>
        </w:rPr>
        <w:t xml:space="preserve">.2.4. </w:t>
      </w:r>
      <w:r w:rsidR="00865F23" w:rsidRPr="006F1A10">
        <w:rPr>
          <w:rFonts w:ascii="Times New Roman" w:eastAsia="Calibri" w:hAnsi="Times New Roman" w:cs="Times New Roman"/>
          <w:sz w:val="28"/>
          <w:szCs w:val="28"/>
          <w:lang w:val="bg-BG"/>
        </w:rPr>
        <w:t xml:space="preserve"> </w:t>
      </w:r>
      <w:r w:rsidR="00C53A11">
        <w:rPr>
          <w:rFonts w:ascii="Times New Roman" w:eastAsia="Calibri" w:hAnsi="Times New Roman" w:cs="Times New Roman"/>
          <w:sz w:val="28"/>
          <w:szCs w:val="28"/>
          <w:lang w:val="bg-BG"/>
        </w:rPr>
        <w:t>Изграждане и р</w:t>
      </w:r>
      <w:r w:rsidR="00865F23" w:rsidRPr="006F1A10">
        <w:rPr>
          <w:rFonts w:ascii="Times New Roman" w:eastAsia="Calibri" w:hAnsi="Times New Roman" w:cs="Times New Roman"/>
          <w:sz w:val="28"/>
          <w:szCs w:val="28"/>
          <w:lang w:val="bg-BG"/>
        </w:rPr>
        <w:t>еконструкция на парково, декоративно и фасадно осветление на територията на община</w:t>
      </w:r>
      <w:r w:rsidR="006B2E09" w:rsidRPr="006F1A10">
        <w:rPr>
          <w:rFonts w:ascii="Times New Roman" w:eastAsia="Calibri" w:hAnsi="Times New Roman" w:cs="Times New Roman"/>
          <w:sz w:val="28"/>
          <w:szCs w:val="28"/>
          <w:lang w:val="bg-BG"/>
        </w:rPr>
        <w:t xml:space="preserve"> Кайнарджа.</w:t>
      </w:r>
    </w:p>
    <w:p w:rsidR="00865F23" w:rsidRDefault="00865F23" w:rsidP="001E3F6C">
      <w:pPr>
        <w:rPr>
          <w:lang w:val="ru-RU"/>
        </w:rPr>
      </w:pPr>
    </w:p>
    <w:p w:rsidR="00250538" w:rsidRPr="00BE657D" w:rsidRDefault="00340709" w:rsidP="00BE657D">
      <w:pPr>
        <w:pStyle w:val="10"/>
        <w:spacing w:before="0" w:line="360" w:lineRule="auto"/>
        <w:ind w:firstLine="720"/>
        <w:jc w:val="both"/>
        <w:rPr>
          <w:rFonts w:ascii="Times New Roman" w:hAnsi="Times New Roman" w:cs="Times New Roman"/>
          <w:b/>
          <w:color w:val="auto"/>
          <w:sz w:val="28"/>
          <w:szCs w:val="28"/>
          <w:lang w:val="bg-BG"/>
        </w:rPr>
      </w:pPr>
      <w:bookmarkStart w:id="43" w:name="_Toc96613197"/>
      <w:r>
        <w:rPr>
          <w:rFonts w:ascii="Times New Roman" w:hAnsi="Times New Roman" w:cs="Times New Roman"/>
          <w:b/>
          <w:color w:val="auto"/>
          <w:sz w:val="28"/>
          <w:szCs w:val="28"/>
          <w:lang w:val="bg-BG"/>
        </w:rPr>
        <w:t>8</w:t>
      </w:r>
      <w:r w:rsidR="006505D6">
        <w:rPr>
          <w:rFonts w:ascii="Times New Roman" w:hAnsi="Times New Roman" w:cs="Times New Roman"/>
          <w:b/>
          <w:color w:val="auto"/>
          <w:sz w:val="28"/>
          <w:szCs w:val="28"/>
          <w:lang w:val="bg-BG"/>
        </w:rPr>
        <w:t>.3</w:t>
      </w:r>
      <w:r w:rsidR="00250538" w:rsidRPr="00BE657D">
        <w:rPr>
          <w:rFonts w:ascii="Times New Roman" w:hAnsi="Times New Roman" w:cs="Times New Roman"/>
          <w:b/>
          <w:color w:val="auto"/>
          <w:sz w:val="28"/>
          <w:szCs w:val="28"/>
          <w:lang w:val="bg-BG"/>
        </w:rPr>
        <w:t xml:space="preserve"> Източници и схеми на финансиране:</w:t>
      </w:r>
      <w:bookmarkEnd w:id="43"/>
      <w:r w:rsidR="00250538" w:rsidRPr="00BE657D">
        <w:rPr>
          <w:rFonts w:ascii="Times New Roman" w:hAnsi="Times New Roman" w:cs="Times New Roman"/>
          <w:b/>
          <w:color w:val="auto"/>
          <w:sz w:val="28"/>
          <w:szCs w:val="28"/>
          <w:lang w:val="bg-BG"/>
        </w:rPr>
        <w:t xml:space="preserve"> </w:t>
      </w:r>
    </w:p>
    <w:p w:rsidR="004A5AA1" w:rsidRPr="006F1A10" w:rsidRDefault="004A5AA1" w:rsidP="00F30B8F">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6F1A10">
        <w:rPr>
          <w:rFonts w:ascii="Times New Roman" w:eastAsia="Calibri" w:hAnsi="Times New Roman" w:cs="Times New Roman"/>
          <w:sz w:val="28"/>
          <w:szCs w:val="28"/>
          <w:lang w:val="bg-BG"/>
        </w:rPr>
        <w:t>Подходите на финансиране на общинските програми</w:t>
      </w:r>
      <w:r w:rsidR="006B2E09" w:rsidRPr="006F1A10">
        <w:rPr>
          <w:rFonts w:ascii="Times New Roman" w:eastAsia="Calibri" w:hAnsi="Times New Roman" w:cs="Times New Roman"/>
          <w:sz w:val="28"/>
          <w:szCs w:val="28"/>
          <w:lang w:val="bg-BG"/>
        </w:rPr>
        <w:t xml:space="preserve"> в Община Кайнарджа</w:t>
      </w:r>
      <w:r w:rsidRPr="006F1A10">
        <w:rPr>
          <w:rFonts w:ascii="Times New Roman" w:eastAsia="Calibri" w:hAnsi="Times New Roman" w:cs="Times New Roman"/>
          <w:sz w:val="28"/>
          <w:szCs w:val="28"/>
          <w:lang w:val="bg-BG"/>
        </w:rPr>
        <w:t xml:space="preserve"> са:</w:t>
      </w:r>
    </w:p>
    <w:p w:rsidR="004A5AA1" w:rsidRPr="006F1A10" w:rsidRDefault="00340709" w:rsidP="006B2E09">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bg-BG"/>
        </w:rPr>
        <w:t>8</w:t>
      </w:r>
      <w:r w:rsidR="00517575" w:rsidRPr="006F1A10">
        <w:rPr>
          <w:rFonts w:ascii="Times New Roman" w:eastAsia="Calibri" w:hAnsi="Times New Roman" w:cs="Times New Roman"/>
          <w:sz w:val="28"/>
          <w:szCs w:val="28"/>
          <w:lang w:val="bg-BG"/>
        </w:rPr>
        <w:t>.3.</w:t>
      </w:r>
      <w:r w:rsidR="006B2E09" w:rsidRPr="006F1A10">
        <w:rPr>
          <w:rFonts w:ascii="Times New Roman" w:eastAsia="Calibri" w:hAnsi="Times New Roman" w:cs="Times New Roman"/>
          <w:sz w:val="28"/>
          <w:szCs w:val="28"/>
          <w:lang w:val="bg-BG"/>
        </w:rPr>
        <w:t>1.</w:t>
      </w:r>
      <w:r w:rsidR="004A5AA1" w:rsidRPr="006F1A10">
        <w:rPr>
          <w:rFonts w:ascii="Times New Roman" w:eastAsia="Calibri" w:hAnsi="Times New Roman" w:cs="Times New Roman"/>
          <w:sz w:val="28"/>
          <w:szCs w:val="28"/>
          <w:lang w:val="bg-BG"/>
        </w:rPr>
        <w:t xml:space="preserve"> </w:t>
      </w:r>
      <w:r w:rsidR="00DC093E">
        <w:rPr>
          <w:rFonts w:ascii="Times New Roman" w:eastAsia="Calibri" w:hAnsi="Times New Roman" w:cs="Times New Roman"/>
          <w:sz w:val="28"/>
          <w:szCs w:val="28"/>
          <w:lang w:val="bg-BG"/>
        </w:rPr>
        <w:t>Н</w:t>
      </w:r>
      <w:r w:rsidR="004A5AA1" w:rsidRPr="006F1A10">
        <w:rPr>
          <w:rFonts w:ascii="Times New Roman" w:eastAsia="Calibri" w:hAnsi="Times New Roman" w:cs="Times New Roman"/>
          <w:sz w:val="28"/>
          <w:szCs w:val="28"/>
          <w:lang w:val="bg-BG"/>
        </w:rPr>
        <w:t>а</w:t>
      </w:r>
      <w:r w:rsidR="00DC093E">
        <w:rPr>
          <w:rFonts w:ascii="Times New Roman" w:eastAsia="Calibri" w:hAnsi="Times New Roman" w:cs="Times New Roman"/>
          <w:sz w:val="28"/>
          <w:szCs w:val="28"/>
          <w:lang w:val="bg-BG"/>
        </w:rPr>
        <w:t xml:space="preserve"> първо място - </w:t>
      </w:r>
      <w:r w:rsidR="004A5AA1" w:rsidRPr="006F1A10">
        <w:rPr>
          <w:rFonts w:ascii="Times New Roman" w:eastAsia="Calibri" w:hAnsi="Times New Roman" w:cs="Times New Roman"/>
          <w:sz w:val="28"/>
          <w:szCs w:val="28"/>
          <w:lang w:val="bg-BG"/>
        </w:rPr>
        <w:t xml:space="preserve"> общинския бюджет</w:t>
      </w:r>
      <w:r w:rsidR="00DC093E">
        <w:rPr>
          <w:rFonts w:ascii="Times New Roman" w:eastAsia="Calibri" w:hAnsi="Times New Roman" w:cs="Times New Roman"/>
          <w:sz w:val="28"/>
          <w:szCs w:val="28"/>
          <w:lang w:val="bg-BG"/>
        </w:rPr>
        <w:t xml:space="preserve"> – целеви и местни приходи.</w:t>
      </w:r>
      <w:r w:rsidR="004A5AA1" w:rsidRPr="006F1A10">
        <w:rPr>
          <w:rFonts w:ascii="Times New Roman" w:eastAsia="Calibri" w:hAnsi="Times New Roman" w:cs="Times New Roman"/>
          <w:sz w:val="28"/>
          <w:szCs w:val="28"/>
          <w:lang w:val="bg-BG"/>
        </w:rPr>
        <w:t xml:space="preserve"> </w:t>
      </w:r>
    </w:p>
    <w:p w:rsidR="004A5AA1" w:rsidRPr="006F1A10" w:rsidRDefault="00DC093E" w:rsidP="00DC093E">
      <w:pPr>
        <w:widowControl w:val="0"/>
        <w:autoSpaceDE w:val="0"/>
        <w:autoSpaceDN w:val="0"/>
        <w:spacing w:after="0" w:line="360" w:lineRule="auto"/>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bg-BG"/>
        </w:rPr>
        <w:t xml:space="preserve">Всяка година се осъществява </w:t>
      </w:r>
      <w:r w:rsidR="004A5AA1" w:rsidRPr="006F1A10">
        <w:rPr>
          <w:rFonts w:ascii="Times New Roman" w:eastAsia="Calibri" w:hAnsi="Times New Roman" w:cs="Times New Roman"/>
          <w:sz w:val="28"/>
          <w:szCs w:val="28"/>
          <w:lang w:val="bg-BG"/>
        </w:rPr>
        <w:t xml:space="preserve">прогнозиране на общинския бюджет за </w:t>
      </w:r>
      <w:r>
        <w:rPr>
          <w:rFonts w:ascii="Times New Roman" w:eastAsia="Calibri" w:hAnsi="Times New Roman" w:cs="Times New Roman"/>
          <w:sz w:val="28"/>
          <w:szCs w:val="28"/>
          <w:lang w:val="bg-BG"/>
        </w:rPr>
        <w:t>предстоящата бюджетна година, като се приемат предложенията на кмета на общината и екипа за работа по ЗЕВИ и ЕЕ;  на кметовете на селата и кметските наместници</w:t>
      </w:r>
      <w:r w:rsidR="004A5AA1" w:rsidRPr="006F1A10">
        <w:rPr>
          <w:rFonts w:ascii="Times New Roman" w:eastAsia="Calibri" w:hAnsi="Times New Roman" w:cs="Times New Roman"/>
          <w:sz w:val="28"/>
          <w:szCs w:val="28"/>
          <w:lang w:val="bg-BG"/>
        </w:rPr>
        <w:t xml:space="preserve">; </w:t>
      </w:r>
    </w:p>
    <w:p w:rsidR="004A5AA1" w:rsidRPr="006F1A10" w:rsidRDefault="00D10F95" w:rsidP="006B2E09">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bg-BG"/>
        </w:rPr>
        <w:t>На второ място -</w:t>
      </w:r>
      <w:r w:rsidR="004A5AA1" w:rsidRPr="006F1A10">
        <w:rPr>
          <w:rFonts w:ascii="Times New Roman" w:eastAsia="Calibri" w:hAnsi="Times New Roman" w:cs="Times New Roman"/>
          <w:sz w:val="28"/>
          <w:szCs w:val="28"/>
          <w:lang w:val="bg-BG"/>
        </w:rPr>
        <w:t xml:space="preserve"> използване на специализирани източници като: оперативни програми, кредитни линии за енергийна ефективност и възобновяема енергия, Фонд „Енергийна ефективност и възобновяеми източници”,</w:t>
      </w:r>
      <w:r w:rsidR="006B2E09" w:rsidRPr="006F1A10">
        <w:rPr>
          <w:rFonts w:ascii="Times New Roman" w:eastAsia="Calibri" w:hAnsi="Times New Roman" w:cs="Times New Roman"/>
          <w:sz w:val="28"/>
          <w:szCs w:val="28"/>
          <w:lang w:val="bg-BG"/>
        </w:rPr>
        <w:t xml:space="preserve"> </w:t>
      </w:r>
      <w:r w:rsidR="004A5AA1" w:rsidRPr="006F1A10">
        <w:rPr>
          <w:rFonts w:ascii="Times New Roman" w:eastAsia="Calibri" w:hAnsi="Times New Roman" w:cs="Times New Roman"/>
          <w:sz w:val="28"/>
          <w:szCs w:val="28"/>
          <w:lang w:val="bg-BG"/>
        </w:rPr>
        <w:t xml:space="preserve">Национална схема за зелени инвестиции (Национален </w:t>
      </w:r>
      <w:r>
        <w:rPr>
          <w:rFonts w:ascii="Times New Roman" w:eastAsia="Calibri" w:hAnsi="Times New Roman" w:cs="Times New Roman"/>
          <w:sz w:val="28"/>
          <w:szCs w:val="28"/>
          <w:lang w:val="bg-BG"/>
        </w:rPr>
        <w:t xml:space="preserve">доверителен фонд), договори с </w:t>
      </w:r>
      <w:r w:rsidR="004A5AA1" w:rsidRPr="006F1A10">
        <w:rPr>
          <w:rFonts w:ascii="Times New Roman" w:eastAsia="Calibri" w:hAnsi="Times New Roman" w:cs="Times New Roman"/>
          <w:sz w:val="28"/>
          <w:szCs w:val="28"/>
          <w:lang w:val="bg-BG"/>
        </w:rPr>
        <w:t>гарантиран резултат (ЕСКО договори или финансиране от трета страна).</w:t>
      </w:r>
    </w:p>
    <w:p w:rsidR="004A5AA1" w:rsidRPr="006F1A10" w:rsidRDefault="00340709" w:rsidP="006B2E09">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bg-BG"/>
        </w:rPr>
        <w:t>8</w:t>
      </w:r>
      <w:r w:rsidR="00D10F95">
        <w:rPr>
          <w:rFonts w:ascii="Times New Roman" w:eastAsia="Calibri" w:hAnsi="Times New Roman" w:cs="Times New Roman"/>
          <w:sz w:val="28"/>
          <w:szCs w:val="28"/>
          <w:lang w:val="bg-BG"/>
        </w:rPr>
        <w:t>.2</w:t>
      </w:r>
      <w:r w:rsidR="00517575" w:rsidRPr="006F1A10">
        <w:rPr>
          <w:rFonts w:ascii="Times New Roman" w:eastAsia="Calibri" w:hAnsi="Times New Roman" w:cs="Times New Roman"/>
          <w:sz w:val="28"/>
          <w:szCs w:val="28"/>
          <w:lang w:val="bg-BG"/>
        </w:rPr>
        <w:t>.2.</w:t>
      </w:r>
      <w:r w:rsidR="004A5AA1" w:rsidRPr="006F1A10">
        <w:rPr>
          <w:rFonts w:ascii="Times New Roman" w:eastAsia="Calibri" w:hAnsi="Times New Roman" w:cs="Times New Roman"/>
          <w:sz w:val="28"/>
          <w:szCs w:val="28"/>
          <w:lang w:val="bg-BG"/>
        </w:rPr>
        <w:t xml:space="preserve"> </w:t>
      </w:r>
      <w:r w:rsidR="00517575" w:rsidRPr="006F1A10">
        <w:rPr>
          <w:rFonts w:ascii="Times New Roman" w:eastAsia="Calibri" w:hAnsi="Times New Roman" w:cs="Times New Roman"/>
          <w:sz w:val="28"/>
          <w:szCs w:val="28"/>
          <w:lang w:val="bg-BG"/>
        </w:rPr>
        <w:t>К</w:t>
      </w:r>
      <w:r w:rsidR="004A5AA1" w:rsidRPr="006F1A10">
        <w:rPr>
          <w:rFonts w:ascii="Times New Roman" w:eastAsia="Calibri" w:hAnsi="Times New Roman" w:cs="Times New Roman"/>
          <w:sz w:val="28"/>
          <w:szCs w:val="28"/>
          <w:lang w:val="bg-BG"/>
        </w:rPr>
        <w:t xml:space="preserve">омплексни оценки на възможностите на общината да осигури индивидуален </w:t>
      </w:r>
      <w:r w:rsidR="006B2E09" w:rsidRPr="006F1A10">
        <w:rPr>
          <w:rFonts w:ascii="Times New Roman" w:eastAsia="Calibri" w:hAnsi="Times New Roman" w:cs="Times New Roman"/>
          <w:sz w:val="28"/>
          <w:szCs w:val="28"/>
          <w:lang w:val="bg-BG"/>
        </w:rPr>
        <w:t>праг на финансовите си средства</w:t>
      </w:r>
      <w:r w:rsidR="00D10F95">
        <w:rPr>
          <w:rFonts w:ascii="Times New Roman" w:eastAsia="Calibri" w:hAnsi="Times New Roman" w:cs="Times New Roman"/>
          <w:sz w:val="28"/>
          <w:szCs w:val="28"/>
          <w:lang w:val="bg-BG"/>
        </w:rPr>
        <w:t xml:space="preserve"> за въвеждане на мерки за насърчаване на използването на енергия от ВИ</w:t>
      </w:r>
      <w:r w:rsidR="006B2E09" w:rsidRPr="006F1A10">
        <w:rPr>
          <w:rFonts w:ascii="Times New Roman" w:eastAsia="Calibri" w:hAnsi="Times New Roman" w:cs="Times New Roman"/>
          <w:sz w:val="28"/>
          <w:szCs w:val="28"/>
          <w:lang w:val="bg-BG"/>
        </w:rPr>
        <w:t>.</w:t>
      </w:r>
    </w:p>
    <w:p w:rsidR="004A5AA1" w:rsidRPr="006F1A10" w:rsidRDefault="004A5AA1" w:rsidP="00F30B8F">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6F1A10">
        <w:rPr>
          <w:rFonts w:ascii="Times New Roman" w:eastAsia="Calibri" w:hAnsi="Times New Roman" w:cs="Times New Roman"/>
          <w:sz w:val="28"/>
          <w:szCs w:val="28"/>
          <w:lang w:val="bg-BG"/>
        </w:rPr>
        <w:t>Комбинацията на тези два подхода</w:t>
      </w:r>
      <w:r w:rsidR="00D10F95">
        <w:rPr>
          <w:rFonts w:ascii="Times New Roman" w:eastAsia="Calibri" w:hAnsi="Times New Roman" w:cs="Times New Roman"/>
          <w:sz w:val="28"/>
          <w:szCs w:val="28"/>
          <w:lang w:val="bg-BG"/>
        </w:rPr>
        <w:t xml:space="preserve"> ще</w:t>
      </w:r>
      <w:r w:rsidRPr="006F1A10">
        <w:rPr>
          <w:rFonts w:ascii="Times New Roman" w:eastAsia="Calibri" w:hAnsi="Times New Roman" w:cs="Times New Roman"/>
          <w:sz w:val="28"/>
          <w:szCs w:val="28"/>
          <w:lang w:val="bg-BG"/>
        </w:rPr>
        <w:t xml:space="preserve"> доведе до предварителното определяне на </w:t>
      </w:r>
      <w:r w:rsidR="00D10F95">
        <w:rPr>
          <w:rFonts w:ascii="Times New Roman" w:eastAsia="Calibri" w:hAnsi="Times New Roman" w:cs="Times New Roman"/>
          <w:sz w:val="28"/>
          <w:szCs w:val="28"/>
          <w:lang w:val="bg-BG"/>
        </w:rPr>
        <w:t>финансовата рамка на програмата</w:t>
      </w:r>
      <w:r w:rsidRPr="006F1A10">
        <w:rPr>
          <w:rFonts w:ascii="Times New Roman" w:eastAsia="Calibri" w:hAnsi="Times New Roman" w:cs="Times New Roman"/>
          <w:sz w:val="28"/>
          <w:szCs w:val="28"/>
          <w:lang w:val="bg-BG"/>
        </w:rPr>
        <w:t xml:space="preserve">. </w:t>
      </w:r>
    </w:p>
    <w:p w:rsidR="004A5AA1" w:rsidRPr="006F1A10" w:rsidRDefault="004A5AA1" w:rsidP="00F30B8F">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6F1A10">
        <w:rPr>
          <w:rFonts w:ascii="Times New Roman" w:eastAsia="Calibri" w:hAnsi="Times New Roman" w:cs="Times New Roman"/>
          <w:sz w:val="28"/>
          <w:szCs w:val="28"/>
          <w:lang w:val="bg-BG"/>
        </w:rPr>
        <w:t>Основните източници на финансиране са:</w:t>
      </w:r>
    </w:p>
    <w:p w:rsidR="004A5AA1" w:rsidRPr="006F1A10" w:rsidRDefault="004A5AA1" w:rsidP="004A5AA1">
      <w:pPr>
        <w:pStyle w:val="ab"/>
        <w:widowControl w:val="0"/>
        <w:numPr>
          <w:ilvl w:val="0"/>
          <w:numId w:val="11"/>
        </w:numPr>
        <w:tabs>
          <w:tab w:val="left" w:pos="993"/>
        </w:tabs>
        <w:autoSpaceDE w:val="0"/>
        <w:autoSpaceDN w:val="0"/>
        <w:spacing w:after="0" w:line="360" w:lineRule="auto"/>
        <w:ind w:left="0" w:firstLine="709"/>
        <w:jc w:val="both"/>
        <w:rPr>
          <w:rFonts w:ascii="Times New Roman" w:eastAsia="Calibri" w:hAnsi="Times New Roman" w:cs="Times New Roman"/>
          <w:sz w:val="28"/>
          <w:szCs w:val="28"/>
          <w:lang w:val="bg-BG"/>
        </w:rPr>
      </w:pPr>
      <w:r w:rsidRPr="006F1A10">
        <w:rPr>
          <w:rFonts w:ascii="Times New Roman" w:eastAsia="Calibri" w:hAnsi="Times New Roman" w:cs="Times New Roman"/>
          <w:sz w:val="28"/>
          <w:szCs w:val="28"/>
          <w:lang w:val="bg-BG"/>
        </w:rPr>
        <w:t xml:space="preserve">Държавни субсидии – републикански бюджет; </w:t>
      </w:r>
    </w:p>
    <w:p w:rsidR="004A5AA1" w:rsidRPr="006F1A10" w:rsidRDefault="004A5AA1" w:rsidP="004A5AA1">
      <w:pPr>
        <w:pStyle w:val="ab"/>
        <w:widowControl w:val="0"/>
        <w:numPr>
          <w:ilvl w:val="0"/>
          <w:numId w:val="11"/>
        </w:numPr>
        <w:tabs>
          <w:tab w:val="left" w:pos="993"/>
        </w:tabs>
        <w:autoSpaceDE w:val="0"/>
        <w:autoSpaceDN w:val="0"/>
        <w:spacing w:after="0" w:line="360" w:lineRule="auto"/>
        <w:ind w:left="0" w:firstLine="709"/>
        <w:jc w:val="both"/>
        <w:rPr>
          <w:rFonts w:ascii="Times New Roman" w:eastAsia="Calibri" w:hAnsi="Times New Roman" w:cs="Times New Roman"/>
          <w:sz w:val="28"/>
          <w:szCs w:val="28"/>
          <w:lang w:val="bg-BG"/>
        </w:rPr>
      </w:pPr>
      <w:r w:rsidRPr="006F1A10">
        <w:rPr>
          <w:rFonts w:ascii="Times New Roman" w:eastAsia="Calibri" w:hAnsi="Times New Roman" w:cs="Times New Roman"/>
          <w:sz w:val="28"/>
          <w:szCs w:val="28"/>
          <w:lang w:val="bg-BG"/>
        </w:rPr>
        <w:t xml:space="preserve">Общински бюджет; </w:t>
      </w:r>
    </w:p>
    <w:p w:rsidR="004A5AA1" w:rsidRPr="006F1A10" w:rsidRDefault="004A5AA1" w:rsidP="004A5AA1">
      <w:pPr>
        <w:pStyle w:val="ab"/>
        <w:widowControl w:val="0"/>
        <w:numPr>
          <w:ilvl w:val="0"/>
          <w:numId w:val="11"/>
        </w:numPr>
        <w:tabs>
          <w:tab w:val="left" w:pos="993"/>
        </w:tabs>
        <w:autoSpaceDE w:val="0"/>
        <w:autoSpaceDN w:val="0"/>
        <w:spacing w:after="0" w:line="360" w:lineRule="auto"/>
        <w:ind w:left="0" w:firstLine="709"/>
        <w:jc w:val="both"/>
        <w:rPr>
          <w:rFonts w:ascii="Times New Roman" w:eastAsia="Calibri" w:hAnsi="Times New Roman" w:cs="Times New Roman"/>
          <w:sz w:val="28"/>
          <w:szCs w:val="28"/>
          <w:lang w:val="bg-BG"/>
        </w:rPr>
      </w:pPr>
      <w:r w:rsidRPr="006F1A10">
        <w:rPr>
          <w:rFonts w:ascii="Times New Roman" w:eastAsia="Calibri" w:hAnsi="Times New Roman" w:cs="Times New Roman"/>
          <w:sz w:val="28"/>
          <w:szCs w:val="28"/>
          <w:lang w:val="bg-BG"/>
        </w:rPr>
        <w:lastRenderedPageBreak/>
        <w:t xml:space="preserve">Собствени средства на заинтересованите лица; </w:t>
      </w:r>
    </w:p>
    <w:p w:rsidR="004A5AA1" w:rsidRPr="006F1A10" w:rsidRDefault="004A5AA1" w:rsidP="004A5AA1">
      <w:pPr>
        <w:pStyle w:val="ab"/>
        <w:widowControl w:val="0"/>
        <w:numPr>
          <w:ilvl w:val="0"/>
          <w:numId w:val="11"/>
        </w:numPr>
        <w:tabs>
          <w:tab w:val="left" w:pos="993"/>
        </w:tabs>
        <w:autoSpaceDE w:val="0"/>
        <w:autoSpaceDN w:val="0"/>
        <w:spacing w:after="0" w:line="360" w:lineRule="auto"/>
        <w:ind w:left="0" w:firstLine="709"/>
        <w:jc w:val="both"/>
        <w:rPr>
          <w:rFonts w:ascii="Times New Roman" w:eastAsia="Calibri" w:hAnsi="Times New Roman" w:cs="Times New Roman"/>
          <w:sz w:val="28"/>
          <w:szCs w:val="28"/>
          <w:lang w:val="bg-BG"/>
        </w:rPr>
      </w:pPr>
      <w:r w:rsidRPr="006F1A10">
        <w:rPr>
          <w:rFonts w:ascii="Times New Roman" w:eastAsia="Calibri" w:hAnsi="Times New Roman" w:cs="Times New Roman"/>
          <w:sz w:val="28"/>
          <w:szCs w:val="28"/>
          <w:lang w:val="bg-BG"/>
        </w:rPr>
        <w:t xml:space="preserve">Договори с гарантиран резултат; </w:t>
      </w:r>
    </w:p>
    <w:p w:rsidR="004A5AA1" w:rsidRPr="006F1A10" w:rsidRDefault="004A5AA1" w:rsidP="004A5AA1">
      <w:pPr>
        <w:pStyle w:val="ab"/>
        <w:widowControl w:val="0"/>
        <w:numPr>
          <w:ilvl w:val="0"/>
          <w:numId w:val="11"/>
        </w:numPr>
        <w:tabs>
          <w:tab w:val="left" w:pos="993"/>
        </w:tabs>
        <w:autoSpaceDE w:val="0"/>
        <w:autoSpaceDN w:val="0"/>
        <w:spacing w:after="0" w:line="360" w:lineRule="auto"/>
        <w:ind w:left="0" w:firstLine="709"/>
        <w:jc w:val="both"/>
        <w:rPr>
          <w:rFonts w:ascii="Times New Roman" w:eastAsia="Calibri" w:hAnsi="Times New Roman" w:cs="Times New Roman"/>
          <w:sz w:val="28"/>
          <w:szCs w:val="28"/>
          <w:lang w:val="bg-BG"/>
        </w:rPr>
      </w:pPr>
      <w:r w:rsidRPr="006F1A10">
        <w:rPr>
          <w:rFonts w:ascii="Times New Roman" w:eastAsia="Calibri" w:hAnsi="Times New Roman" w:cs="Times New Roman"/>
          <w:sz w:val="28"/>
          <w:szCs w:val="28"/>
          <w:lang w:val="bg-BG"/>
        </w:rPr>
        <w:t xml:space="preserve">Публично частно партньорство; </w:t>
      </w:r>
    </w:p>
    <w:p w:rsidR="004A5AA1" w:rsidRPr="006F1A10" w:rsidRDefault="004A5AA1" w:rsidP="004A5AA1">
      <w:pPr>
        <w:pStyle w:val="ab"/>
        <w:widowControl w:val="0"/>
        <w:numPr>
          <w:ilvl w:val="0"/>
          <w:numId w:val="11"/>
        </w:numPr>
        <w:tabs>
          <w:tab w:val="left" w:pos="993"/>
        </w:tabs>
        <w:autoSpaceDE w:val="0"/>
        <w:autoSpaceDN w:val="0"/>
        <w:spacing w:after="0" w:line="360" w:lineRule="auto"/>
        <w:ind w:left="0" w:firstLine="709"/>
        <w:jc w:val="both"/>
        <w:rPr>
          <w:rFonts w:ascii="Times New Roman" w:eastAsia="Calibri" w:hAnsi="Times New Roman" w:cs="Times New Roman"/>
          <w:sz w:val="28"/>
          <w:szCs w:val="28"/>
          <w:lang w:val="bg-BG"/>
        </w:rPr>
      </w:pPr>
      <w:r w:rsidRPr="006F1A10">
        <w:rPr>
          <w:rFonts w:ascii="Times New Roman" w:eastAsia="Calibri" w:hAnsi="Times New Roman" w:cs="Times New Roman"/>
          <w:sz w:val="28"/>
          <w:szCs w:val="28"/>
          <w:lang w:val="bg-BG"/>
        </w:rPr>
        <w:t>Финансиране по Оперативни програми;</w:t>
      </w:r>
    </w:p>
    <w:p w:rsidR="004A5AA1" w:rsidRPr="006F1A10" w:rsidRDefault="004A5AA1" w:rsidP="004A5AA1">
      <w:pPr>
        <w:pStyle w:val="ab"/>
        <w:widowControl w:val="0"/>
        <w:numPr>
          <w:ilvl w:val="0"/>
          <w:numId w:val="11"/>
        </w:numPr>
        <w:tabs>
          <w:tab w:val="left" w:pos="993"/>
        </w:tabs>
        <w:autoSpaceDE w:val="0"/>
        <w:autoSpaceDN w:val="0"/>
        <w:spacing w:after="0" w:line="360" w:lineRule="auto"/>
        <w:ind w:left="0" w:firstLine="709"/>
        <w:jc w:val="both"/>
        <w:rPr>
          <w:rFonts w:ascii="Times New Roman" w:eastAsia="Calibri" w:hAnsi="Times New Roman" w:cs="Times New Roman"/>
          <w:sz w:val="28"/>
          <w:szCs w:val="28"/>
          <w:lang w:val="bg-BG"/>
        </w:rPr>
      </w:pPr>
      <w:r w:rsidRPr="006F1A10">
        <w:rPr>
          <w:rFonts w:ascii="Times New Roman" w:eastAsia="Calibri" w:hAnsi="Times New Roman" w:cs="Times New Roman"/>
          <w:sz w:val="28"/>
          <w:szCs w:val="28"/>
          <w:lang w:val="bg-BG"/>
        </w:rPr>
        <w:t>Финансови схеми по Национални и европейски програми;</w:t>
      </w:r>
    </w:p>
    <w:p w:rsidR="00250538" w:rsidRPr="006F1A10" w:rsidRDefault="00D10F95" w:rsidP="004A5AA1">
      <w:pPr>
        <w:pStyle w:val="ab"/>
        <w:widowControl w:val="0"/>
        <w:numPr>
          <w:ilvl w:val="0"/>
          <w:numId w:val="11"/>
        </w:numPr>
        <w:tabs>
          <w:tab w:val="left" w:pos="993"/>
        </w:tabs>
        <w:autoSpaceDE w:val="0"/>
        <w:autoSpaceDN w:val="0"/>
        <w:spacing w:after="0" w:line="360" w:lineRule="auto"/>
        <w:ind w:left="0" w:firstLine="709"/>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bg-BG"/>
        </w:rPr>
        <w:t>Кредити  и</w:t>
      </w:r>
      <w:r w:rsidR="004A5AA1" w:rsidRPr="006F1A10">
        <w:rPr>
          <w:rFonts w:ascii="Times New Roman" w:eastAsia="Calibri" w:hAnsi="Times New Roman" w:cs="Times New Roman"/>
          <w:sz w:val="28"/>
          <w:szCs w:val="28"/>
          <w:lang w:val="bg-BG"/>
        </w:rPr>
        <w:t xml:space="preserve"> грантове по специализираните кредитни линии.</w:t>
      </w:r>
    </w:p>
    <w:p w:rsidR="00F30B8F" w:rsidRPr="00F30B8F" w:rsidRDefault="00F30B8F" w:rsidP="00F30B8F">
      <w:pPr>
        <w:widowControl w:val="0"/>
        <w:autoSpaceDE w:val="0"/>
        <w:autoSpaceDN w:val="0"/>
        <w:spacing w:after="0" w:line="360" w:lineRule="auto"/>
        <w:ind w:firstLine="709"/>
        <w:jc w:val="both"/>
        <w:rPr>
          <w:rFonts w:ascii="Times New Roman" w:eastAsia="Calibri" w:hAnsi="Times New Roman" w:cs="Times New Roman"/>
          <w:sz w:val="28"/>
          <w:szCs w:val="28"/>
          <w:highlight w:val="yellow"/>
          <w:lang w:val="bg-BG"/>
        </w:rPr>
      </w:pPr>
    </w:p>
    <w:p w:rsidR="005D0C17" w:rsidRPr="00BE2B92" w:rsidRDefault="002D6E00" w:rsidP="001536DC">
      <w:pPr>
        <w:pStyle w:val="10"/>
        <w:spacing w:before="0" w:line="360" w:lineRule="auto"/>
        <w:ind w:firstLine="720"/>
        <w:jc w:val="both"/>
        <w:rPr>
          <w:rFonts w:ascii="Times New Roman" w:hAnsi="Times New Roman" w:cs="Times New Roman"/>
          <w:b/>
          <w:color w:val="auto"/>
          <w:sz w:val="28"/>
          <w:szCs w:val="28"/>
          <w:lang w:val="bg-BG"/>
        </w:rPr>
      </w:pPr>
      <w:bookmarkStart w:id="44" w:name="_Toc96613198"/>
      <w:r>
        <w:rPr>
          <w:rFonts w:ascii="Times New Roman" w:hAnsi="Times New Roman" w:cs="Times New Roman"/>
          <w:b/>
          <w:color w:val="auto"/>
          <w:sz w:val="28"/>
          <w:szCs w:val="28"/>
          <w:lang w:val="bg-BG"/>
        </w:rPr>
        <w:t>9</w:t>
      </w:r>
      <w:r w:rsidR="005D0C17" w:rsidRPr="00BE2B92">
        <w:rPr>
          <w:rFonts w:ascii="Times New Roman" w:hAnsi="Times New Roman" w:cs="Times New Roman"/>
          <w:b/>
          <w:color w:val="auto"/>
          <w:sz w:val="28"/>
          <w:szCs w:val="28"/>
          <w:lang w:val="bg-BG"/>
        </w:rPr>
        <w:t>. НАБЛЮДЕНИЕ И ОЦЕНКА ОТ РЕАЛИЗИРАНИ ПРОЕКТИ</w:t>
      </w:r>
      <w:bookmarkEnd w:id="44"/>
      <w:r w:rsidR="005D0C17" w:rsidRPr="00BE2B92">
        <w:rPr>
          <w:rFonts w:ascii="Times New Roman" w:hAnsi="Times New Roman" w:cs="Times New Roman"/>
          <w:b/>
          <w:color w:val="auto"/>
          <w:sz w:val="28"/>
          <w:szCs w:val="28"/>
          <w:lang w:val="bg-BG"/>
        </w:rPr>
        <w:t xml:space="preserve"> </w:t>
      </w:r>
    </w:p>
    <w:p w:rsidR="001E3F6C" w:rsidRPr="00BE2B92" w:rsidRDefault="00234449"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bg-BG"/>
        </w:rPr>
        <w:t xml:space="preserve">Наблюдението </w:t>
      </w:r>
      <w:r w:rsidR="001E3F6C" w:rsidRPr="00BE2B92">
        <w:rPr>
          <w:rFonts w:ascii="Times New Roman" w:eastAsia="Calibri" w:hAnsi="Times New Roman" w:cs="Times New Roman"/>
          <w:sz w:val="28"/>
          <w:szCs w:val="28"/>
          <w:lang w:val="bg-BG"/>
        </w:rPr>
        <w:t xml:space="preserve">на общинските програми се извършва </w:t>
      </w:r>
      <w:r w:rsidR="00A159D4">
        <w:rPr>
          <w:rFonts w:ascii="Times New Roman" w:eastAsia="Calibri" w:hAnsi="Times New Roman" w:cs="Times New Roman"/>
          <w:sz w:val="28"/>
          <w:szCs w:val="28"/>
          <w:lang w:val="bg-BG"/>
        </w:rPr>
        <w:t xml:space="preserve">ежегодно </w:t>
      </w:r>
      <w:r w:rsidR="001E3F6C" w:rsidRPr="00BE2B92">
        <w:rPr>
          <w:rFonts w:ascii="Times New Roman" w:eastAsia="Calibri" w:hAnsi="Times New Roman" w:cs="Times New Roman"/>
          <w:sz w:val="28"/>
          <w:szCs w:val="28"/>
          <w:lang w:val="bg-BG"/>
        </w:rPr>
        <w:t xml:space="preserve">от общинските съвети, </w:t>
      </w:r>
      <w:r>
        <w:rPr>
          <w:rFonts w:ascii="Times New Roman" w:eastAsia="Calibri" w:hAnsi="Times New Roman" w:cs="Times New Roman"/>
          <w:sz w:val="28"/>
          <w:szCs w:val="28"/>
          <w:lang w:val="bg-BG"/>
        </w:rPr>
        <w:t xml:space="preserve">пред </w:t>
      </w:r>
      <w:r w:rsidR="001E3F6C" w:rsidRPr="00BE2B92">
        <w:rPr>
          <w:rFonts w:ascii="Times New Roman" w:eastAsia="Calibri" w:hAnsi="Times New Roman" w:cs="Times New Roman"/>
          <w:sz w:val="28"/>
          <w:szCs w:val="28"/>
          <w:lang w:val="bg-BG"/>
        </w:rPr>
        <w:t>които</w:t>
      </w:r>
      <w:r>
        <w:rPr>
          <w:rFonts w:ascii="Times New Roman" w:eastAsia="Calibri" w:hAnsi="Times New Roman" w:cs="Times New Roman"/>
          <w:sz w:val="28"/>
          <w:szCs w:val="28"/>
          <w:lang w:val="bg-BG"/>
        </w:rPr>
        <w:t xml:space="preserve"> кметът на общината внася информация за</w:t>
      </w:r>
      <w:r w:rsidR="00A159D4">
        <w:rPr>
          <w:rFonts w:ascii="Times New Roman" w:eastAsia="Calibri" w:hAnsi="Times New Roman" w:cs="Times New Roman"/>
          <w:sz w:val="28"/>
          <w:szCs w:val="28"/>
          <w:lang w:val="bg-BG"/>
        </w:rPr>
        <w:t xml:space="preserve"> въведените</w:t>
      </w:r>
      <w:r>
        <w:rPr>
          <w:rFonts w:ascii="Times New Roman" w:eastAsia="Calibri" w:hAnsi="Times New Roman" w:cs="Times New Roman"/>
          <w:sz w:val="28"/>
          <w:szCs w:val="28"/>
          <w:lang w:val="bg-BG"/>
        </w:rPr>
        <w:t xml:space="preserve"> мерки</w:t>
      </w:r>
      <w:r w:rsidR="00A159D4">
        <w:rPr>
          <w:rFonts w:ascii="Times New Roman" w:eastAsia="Calibri" w:hAnsi="Times New Roman" w:cs="Times New Roman"/>
          <w:sz w:val="28"/>
          <w:szCs w:val="28"/>
          <w:lang w:val="bg-BG"/>
        </w:rPr>
        <w:t xml:space="preserve"> за насърчаване на използването на енергията </w:t>
      </w:r>
      <w:r w:rsidR="001E3F6C" w:rsidRPr="00BE2B92">
        <w:rPr>
          <w:rFonts w:ascii="Times New Roman" w:eastAsia="Calibri" w:hAnsi="Times New Roman" w:cs="Times New Roman"/>
          <w:sz w:val="28"/>
          <w:szCs w:val="28"/>
          <w:lang w:val="bg-BG"/>
        </w:rPr>
        <w:t>от възобновяеми източници на тер</w:t>
      </w:r>
      <w:r w:rsidR="00A159D4">
        <w:rPr>
          <w:rFonts w:ascii="Times New Roman" w:eastAsia="Calibri" w:hAnsi="Times New Roman" w:cs="Times New Roman"/>
          <w:sz w:val="28"/>
          <w:szCs w:val="28"/>
          <w:lang w:val="bg-BG"/>
        </w:rPr>
        <w:t>иторията на общината, съобразно</w:t>
      </w:r>
      <w:r w:rsidR="001E3F6C" w:rsidRPr="00BE2B92">
        <w:rPr>
          <w:rFonts w:ascii="Times New Roman" w:eastAsia="Calibri" w:hAnsi="Times New Roman" w:cs="Times New Roman"/>
          <w:sz w:val="28"/>
          <w:szCs w:val="28"/>
          <w:lang w:val="bg-BG"/>
        </w:rPr>
        <w:t xml:space="preserve"> изпълнението на </w:t>
      </w:r>
      <w:r w:rsidR="00A159D4">
        <w:rPr>
          <w:rFonts w:ascii="Times New Roman" w:eastAsia="Calibri" w:hAnsi="Times New Roman" w:cs="Times New Roman"/>
          <w:sz w:val="28"/>
          <w:szCs w:val="28"/>
          <w:lang w:val="bg-BG"/>
        </w:rPr>
        <w:t xml:space="preserve">дългосрочната и краткосрочна програма за използване на енергия от ВИ. Тази информация се внася и </w:t>
      </w:r>
      <w:r w:rsidR="001E3F6C" w:rsidRPr="00BE2B92">
        <w:rPr>
          <w:rFonts w:ascii="Times New Roman" w:eastAsia="Calibri" w:hAnsi="Times New Roman" w:cs="Times New Roman"/>
          <w:sz w:val="28"/>
          <w:szCs w:val="28"/>
          <w:lang w:val="bg-BG"/>
        </w:rPr>
        <w:t xml:space="preserve"> пред областния управител</w:t>
      </w:r>
      <w:r w:rsidR="00A159D4">
        <w:rPr>
          <w:rFonts w:ascii="Times New Roman" w:eastAsia="Calibri" w:hAnsi="Times New Roman" w:cs="Times New Roman"/>
          <w:sz w:val="28"/>
          <w:szCs w:val="28"/>
          <w:lang w:val="bg-BG"/>
        </w:rPr>
        <w:t>,</w:t>
      </w:r>
      <w:r w:rsidR="001E3F6C" w:rsidRPr="00BE2B92">
        <w:rPr>
          <w:rFonts w:ascii="Times New Roman" w:eastAsia="Calibri" w:hAnsi="Times New Roman" w:cs="Times New Roman"/>
          <w:sz w:val="28"/>
          <w:szCs w:val="28"/>
          <w:lang w:val="bg-BG"/>
        </w:rPr>
        <w:t xml:space="preserve"> </w:t>
      </w:r>
      <w:r w:rsidR="00854309">
        <w:rPr>
          <w:rFonts w:ascii="Times New Roman" w:eastAsia="Calibri" w:hAnsi="Times New Roman" w:cs="Times New Roman"/>
          <w:sz w:val="28"/>
          <w:szCs w:val="28"/>
          <w:lang w:val="bg-BG"/>
        </w:rPr>
        <w:t>и</w:t>
      </w:r>
      <w:r w:rsidR="00A159D4">
        <w:rPr>
          <w:rFonts w:ascii="Times New Roman" w:eastAsia="Calibri" w:hAnsi="Times New Roman" w:cs="Times New Roman"/>
          <w:sz w:val="28"/>
          <w:szCs w:val="28"/>
          <w:lang w:val="bg-BG"/>
        </w:rPr>
        <w:t xml:space="preserve"> пред  и</w:t>
      </w:r>
      <w:r w:rsidR="001E3F6C" w:rsidRPr="00BE2B92">
        <w:rPr>
          <w:rFonts w:ascii="Times New Roman" w:eastAsia="Calibri" w:hAnsi="Times New Roman" w:cs="Times New Roman"/>
          <w:sz w:val="28"/>
          <w:szCs w:val="28"/>
          <w:lang w:val="bg-BG"/>
        </w:rPr>
        <w:t xml:space="preserve">зпълнителния директор на АУЕР. </w:t>
      </w:r>
    </w:p>
    <w:p w:rsidR="001E3F6C" w:rsidRPr="00BE2B92" w:rsidRDefault="001E3F6C"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За успешния мониторинг на програмите е необходимо да се прави периодична оценка на постигнатите резултати, като се съпоставят вложените финансови средства и постигнатите резултати, което служи като основа за определяне реализацията на проектите. </w:t>
      </w:r>
      <w:r w:rsidR="00886D4B">
        <w:rPr>
          <w:rFonts w:ascii="Times New Roman" w:eastAsia="Calibri" w:hAnsi="Times New Roman" w:cs="Times New Roman"/>
          <w:sz w:val="28"/>
          <w:szCs w:val="28"/>
          <w:lang w:val="bg-BG"/>
        </w:rPr>
        <w:t>В тази посока може да се отбележи, че за разпространение на идеята за въвеждане на мерките за насърчаване на използването на енергията от ВИ, община Кайнарджа не е изразходвала големи обеми парични средства, но най-вече това беше провеждано непрестанно от 2008 година до момента, т.е. сме използвали един от най-скъпите ресурси – времето. Идеите бяха разпространявани 13 години и имаме вече инвестициони намерения за 13</w:t>
      </w:r>
      <w:r w:rsidR="00854309">
        <w:rPr>
          <w:rFonts w:ascii="Times New Roman" w:eastAsia="Calibri" w:hAnsi="Times New Roman" w:cs="Times New Roman"/>
          <w:sz w:val="28"/>
          <w:szCs w:val="28"/>
          <w:lang w:val="bg-BG"/>
        </w:rPr>
        <w:t xml:space="preserve"> броя</w:t>
      </w:r>
      <w:r w:rsidR="00886D4B">
        <w:rPr>
          <w:rFonts w:ascii="Times New Roman" w:eastAsia="Calibri" w:hAnsi="Times New Roman" w:cs="Times New Roman"/>
          <w:sz w:val="28"/>
          <w:szCs w:val="28"/>
          <w:lang w:val="bg-BG"/>
        </w:rPr>
        <w:t xml:space="preserve"> </w:t>
      </w:r>
      <w:r w:rsidR="00854309">
        <w:rPr>
          <w:rFonts w:ascii="Times New Roman" w:eastAsia="Calibri" w:hAnsi="Times New Roman" w:cs="Times New Roman"/>
          <w:sz w:val="28"/>
          <w:szCs w:val="28"/>
          <w:lang w:val="bg-BG"/>
        </w:rPr>
        <w:t xml:space="preserve">частни </w:t>
      </w:r>
      <w:r w:rsidR="00886D4B">
        <w:rPr>
          <w:rFonts w:ascii="Times New Roman" w:eastAsia="Calibri" w:hAnsi="Times New Roman" w:cs="Times New Roman"/>
          <w:sz w:val="28"/>
          <w:szCs w:val="28"/>
          <w:lang w:val="bg-BG"/>
        </w:rPr>
        <w:t>обект</w:t>
      </w:r>
      <w:r w:rsidR="00854309">
        <w:rPr>
          <w:rFonts w:ascii="Times New Roman" w:eastAsia="Calibri" w:hAnsi="Times New Roman" w:cs="Times New Roman"/>
          <w:sz w:val="28"/>
          <w:szCs w:val="28"/>
          <w:lang w:val="bg-BG"/>
        </w:rPr>
        <w:t>и</w:t>
      </w:r>
      <w:r w:rsidR="00886D4B">
        <w:rPr>
          <w:rFonts w:ascii="Times New Roman" w:eastAsia="Calibri" w:hAnsi="Times New Roman" w:cs="Times New Roman"/>
          <w:sz w:val="28"/>
          <w:szCs w:val="28"/>
          <w:lang w:val="bg-BG"/>
        </w:rPr>
        <w:t xml:space="preserve">, като повече от половината вече са започнали работа като малки </w:t>
      </w:r>
      <w:r w:rsidR="00854309">
        <w:rPr>
          <w:rFonts w:ascii="Times New Roman" w:eastAsia="Calibri" w:hAnsi="Times New Roman" w:cs="Times New Roman"/>
          <w:sz w:val="28"/>
          <w:szCs w:val="28"/>
          <w:lang w:val="bg-BG"/>
        </w:rPr>
        <w:t>ФтЕЦ. От тях 9</w:t>
      </w:r>
      <w:r w:rsidR="00886D4B">
        <w:rPr>
          <w:rFonts w:ascii="Times New Roman" w:eastAsia="Calibri" w:hAnsi="Times New Roman" w:cs="Times New Roman"/>
          <w:sz w:val="28"/>
          <w:szCs w:val="28"/>
          <w:lang w:val="bg-BG"/>
        </w:rPr>
        <w:t xml:space="preserve"> броя ФтЕЦ в края на 2021 година са работещи</w:t>
      </w:r>
      <w:r w:rsidR="00854309">
        <w:rPr>
          <w:rFonts w:ascii="Times New Roman" w:eastAsia="Calibri" w:hAnsi="Times New Roman" w:cs="Times New Roman"/>
          <w:sz w:val="28"/>
          <w:szCs w:val="28"/>
          <w:lang w:val="bg-BG"/>
        </w:rPr>
        <w:t xml:space="preserve"> – 4 през цялата година, а 5 само в някои от </w:t>
      </w:r>
      <w:r w:rsidR="00854309">
        <w:rPr>
          <w:rFonts w:ascii="Times New Roman" w:eastAsia="Calibri" w:hAnsi="Times New Roman" w:cs="Times New Roman"/>
          <w:sz w:val="28"/>
          <w:szCs w:val="28"/>
          <w:lang w:val="bg-BG"/>
        </w:rPr>
        <w:lastRenderedPageBreak/>
        <w:t>месеците в края на 2021 година</w:t>
      </w:r>
    </w:p>
    <w:p w:rsidR="001E3F6C" w:rsidRDefault="001E3F6C"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(чл.8, ал.2 от Наредба № РД–16-558 от 08.05.2012г.). Реализираните и </w:t>
      </w:r>
      <w:r w:rsidR="00854309">
        <w:rPr>
          <w:rFonts w:ascii="Times New Roman" w:eastAsia="Calibri" w:hAnsi="Times New Roman" w:cs="Times New Roman"/>
          <w:sz w:val="28"/>
          <w:szCs w:val="28"/>
          <w:lang w:val="bg-BG"/>
        </w:rPr>
        <w:t>прогнозни ефекти са изразени чрез количествено и</w:t>
      </w:r>
      <w:r w:rsidRPr="00BE2B92">
        <w:rPr>
          <w:rFonts w:ascii="Times New Roman" w:eastAsia="Calibri" w:hAnsi="Times New Roman" w:cs="Times New Roman"/>
          <w:sz w:val="28"/>
          <w:szCs w:val="28"/>
          <w:lang w:val="bg-BG"/>
        </w:rPr>
        <w:t xml:space="preserve"> качествено измерими стойностни показатели /индикатори.</w:t>
      </w:r>
      <w:r w:rsidR="00854309">
        <w:rPr>
          <w:rFonts w:ascii="Times New Roman" w:eastAsia="Calibri" w:hAnsi="Times New Roman" w:cs="Times New Roman"/>
          <w:sz w:val="28"/>
          <w:szCs w:val="28"/>
          <w:lang w:val="bg-BG"/>
        </w:rPr>
        <w:t xml:space="preserve"> Това ясно се вижда от ежегодно представяната информация пред Общински съвет Кайнарджа – количествени измерители са представени в таблици по образец на АУЕР, които се попълват всяка година за изпълнението на краткосрочната и на дългосрочната програми за използването на ЕВИ.</w:t>
      </w:r>
    </w:p>
    <w:p w:rsidR="00AD6D49" w:rsidRPr="00AD6D49" w:rsidRDefault="00AD6D49" w:rsidP="00AD6D49">
      <w:pPr>
        <w:pStyle w:val="10"/>
        <w:spacing w:before="0" w:line="360" w:lineRule="auto"/>
        <w:ind w:firstLine="720"/>
        <w:jc w:val="both"/>
        <w:rPr>
          <w:rFonts w:ascii="Times New Roman" w:eastAsia="Calibri" w:hAnsi="Times New Roman" w:cs="Times New Roman"/>
          <w:color w:val="auto"/>
          <w:sz w:val="28"/>
          <w:szCs w:val="28"/>
          <w:lang w:val="ru-RU"/>
        </w:rPr>
      </w:pPr>
      <w:r>
        <w:rPr>
          <w:rFonts w:ascii="Times New Roman" w:eastAsia="Calibri" w:hAnsi="Times New Roman" w:cs="Times New Roman"/>
          <w:color w:val="auto"/>
          <w:sz w:val="28"/>
          <w:szCs w:val="28"/>
          <w:lang w:val="ru-RU"/>
        </w:rPr>
        <w:t>В община Кайнарджа до настоящия момент се извършва много добро и бързо административно обслужване, в резултат на което от началото на 2019 година до края на 2021 година  са постъпили  общо 13 инвестиционни намерения, издадени са и толкова разрешителни за строеж на ФтЕЦ на частни инвеститори. Така през 2020 и 2021 година са заработили общо 8 броя ФтЕЦ. Четири от тях са работили през всичките 12 месеца, а последната, която е пусната в експлоатация е работила само през месеците ноември и декември 2021 година</w:t>
      </w:r>
      <w:r w:rsidRPr="006F1A10">
        <w:rPr>
          <w:rFonts w:ascii="Times New Roman" w:eastAsia="Calibri" w:hAnsi="Times New Roman" w:cs="Times New Roman"/>
          <w:color w:val="auto"/>
          <w:sz w:val="28"/>
          <w:szCs w:val="28"/>
          <w:lang w:val="ru-RU"/>
        </w:rPr>
        <w:t xml:space="preserve">; </w:t>
      </w:r>
    </w:p>
    <w:p w:rsidR="00AD6D49" w:rsidRDefault="00854309" w:rsidP="001E3F6C">
      <w:pPr>
        <w:widowControl w:val="0"/>
        <w:autoSpaceDE w:val="0"/>
        <w:autoSpaceDN w:val="0"/>
        <w:spacing w:after="0" w:line="360" w:lineRule="auto"/>
        <w:ind w:firstLine="709"/>
        <w:jc w:val="both"/>
        <w:rPr>
          <w:rFonts w:ascii="Times New Roman" w:hAnsi="Times New Roman" w:cs="Times New Roman"/>
          <w:sz w:val="28"/>
          <w:szCs w:val="28"/>
          <w:lang w:val="bg-BG"/>
        </w:rPr>
      </w:pPr>
      <w:r w:rsidRPr="00AD6D49">
        <w:rPr>
          <w:rFonts w:ascii="Times New Roman" w:hAnsi="Times New Roman" w:cs="Times New Roman"/>
          <w:sz w:val="28"/>
          <w:szCs w:val="28"/>
          <w:lang w:val="bg-BG"/>
        </w:rPr>
        <w:t xml:space="preserve">Първите ни стъпки в посока построяване на малки ФтЕЦ върху покривите на общински сгради вече са факт. Локалната фотоволтаична централа –ФтЕЦ върху покрива на ДЦПЛУ, с . Средище задоволява частично потребностите на </w:t>
      </w:r>
      <w:r w:rsidR="00AD6D49" w:rsidRPr="00AD6D49">
        <w:rPr>
          <w:rFonts w:ascii="Times New Roman" w:hAnsi="Times New Roman" w:cs="Times New Roman"/>
          <w:sz w:val="28"/>
          <w:szCs w:val="28"/>
          <w:lang w:val="bg-BG"/>
        </w:rPr>
        <w:t>социалното заведение</w:t>
      </w:r>
      <w:r w:rsidRPr="00AD6D49">
        <w:rPr>
          <w:rFonts w:ascii="Times New Roman" w:hAnsi="Times New Roman" w:cs="Times New Roman"/>
          <w:sz w:val="28"/>
          <w:szCs w:val="28"/>
          <w:lang w:val="bg-BG"/>
        </w:rPr>
        <w:t xml:space="preserve">. Във всеки от месеците се произвежда електрическа енергия като варира от 30 до 500 Квч за месец в зависимост от сезона. Във всички месеци продават енергията чрез договор за изкупуване от Енерго – про.  Приходите в общинския бюджет са символични, например през 2021 година продадената енергия е на обща стойност  само за  392,73 лева. Целта за в бъдеще е да се </w:t>
      </w:r>
      <w:r w:rsidR="00AD6D49" w:rsidRPr="00AD6D49">
        <w:rPr>
          <w:rFonts w:ascii="Times New Roman" w:hAnsi="Times New Roman" w:cs="Times New Roman"/>
          <w:sz w:val="28"/>
          <w:szCs w:val="28"/>
          <w:lang w:val="bg-BG"/>
        </w:rPr>
        <w:t>предоговорят</w:t>
      </w:r>
      <w:r w:rsidRPr="00AD6D49">
        <w:rPr>
          <w:rFonts w:ascii="Times New Roman" w:hAnsi="Times New Roman" w:cs="Times New Roman"/>
          <w:sz w:val="28"/>
          <w:szCs w:val="28"/>
          <w:lang w:val="bg-BG"/>
        </w:rPr>
        <w:t xml:space="preserve"> по-изгодни условия за </w:t>
      </w:r>
      <w:r w:rsidRPr="00AD6D49">
        <w:rPr>
          <w:rFonts w:ascii="Times New Roman" w:hAnsi="Times New Roman" w:cs="Times New Roman"/>
          <w:sz w:val="28"/>
          <w:szCs w:val="28"/>
          <w:lang w:val="bg-BG"/>
        </w:rPr>
        <w:lastRenderedPageBreak/>
        <w:t xml:space="preserve">работата на тази централа и изкупуването на енергията от нея.   </w:t>
      </w:r>
    </w:p>
    <w:p w:rsidR="00AD6D49" w:rsidRDefault="00AD6D49" w:rsidP="001E3F6C">
      <w:pPr>
        <w:widowControl w:val="0"/>
        <w:autoSpaceDE w:val="0"/>
        <w:autoSpaceDN w:val="0"/>
        <w:spacing w:after="0" w:line="360" w:lineRule="auto"/>
        <w:ind w:firstLine="709"/>
        <w:jc w:val="both"/>
        <w:rPr>
          <w:rFonts w:ascii="Times New Roman" w:hAnsi="Times New Roman" w:cs="Times New Roman"/>
          <w:sz w:val="28"/>
          <w:szCs w:val="28"/>
          <w:lang w:val="bg-BG"/>
        </w:rPr>
      </w:pPr>
      <w:r>
        <w:rPr>
          <w:rFonts w:ascii="Times New Roman" w:hAnsi="Times New Roman" w:cs="Times New Roman"/>
          <w:sz w:val="28"/>
          <w:szCs w:val="28"/>
          <w:lang w:val="bg-BG"/>
        </w:rPr>
        <w:t>Наблюдението и оценяването на постигнатите ефекти в областта на енергийната ефективност се отчита чрез отделни доклади и попълване на определен от АУЕР образец на числов отчет за всяка година.</w:t>
      </w:r>
    </w:p>
    <w:p w:rsidR="001E3F6C" w:rsidRPr="00BE2B92" w:rsidRDefault="00AD6D49" w:rsidP="00F1678E">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Pr>
          <w:rFonts w:ascii="Times New Roman" w:hAnsi="Times New Roman" w:cs="Times New Roman"/>
          <w:sz w:val="28"/>
          <w:szCs w:val="28"/>
          <w:lang w:val="bg-BG"/>
        </w:rPr>
        <w:t>Докладите и отчетите за всички тези програми се публикуват на сайта на община Кайнарджа в секция „ЕНЕРГИЙНА ЕФЕКТИВНОСТ, ЗЕВИ, ПРОЕКТИ“</w:t>
      </w:r>
      <w:r w:rsidR="00854309" w:rsidRPr="00AD6D49">
        <w:rPr>
          <w:rFonts w:ascii="Times New Roman" w:hAnsi="Times New Roman" w:cs="Times New Roman"/>
          <w:sz w:val="28"/>
          <w:szCs w:val="28"/>
          <w:lang w:val="bg-BG"/>
        </w:rPr>
        <w:t xml:space="preserve">          </w:t>
      </w:r>
    </w:p>
    <w:p w:rsidR="005D0C17" w:rsidRPr="00BE2B92" w:rsidRDefault="005D0C17" w:rsidP="001536DC">
      <w:pPr>
        <w:pStyle w:val="10"/>
        <w:spacing w:before="0" w:line="360" w:lineRule="auto"/>
        <w:ind w:firstLine="720"/>
        <w:jc w:val="both"/>
        <w:rPr>
          <w:rFonts w:ascii="Times New Roman" w:hAnsi="Times New Roman" w:cs="Times New Roman"/>
          <w:b/>
          <w:color w:val="auto"/>
          <w:sz w:val="28"/>
          <w:szCs w:val="28"/>
          <w:lang w:val="bg-BG"/>
        </w:rPr>
      </w:pPr>
      <w:bookmarkStart w:id="45" w:name="_Toc96613199"/>
      <w:r w:rsidRPr="00BE2B92">
        <w:rPr>
          <w:rFonts w:ascii="Times New Roman" w:hAnsi="Times New Roman" w:cs="Times New Roman"/>
          <w:b/>
          <w:color w:val="auto"/>
          <w:sz w:val="28"/>
          <w:szCs w:val="28"/>
          <w:lang w:val="bg-BG"/>
        </w:rPr>
        <w:t>10. ЗАКЛЮЧЕНИЕ</w:t>
      </w:r>
      <w:bookmarkEnd w:id="45"/>
    </w:p>
    <w:p w:rsidR="001E3F6C" w:rsidRPr="00BE2B92" w:rsidRDefault="001E3F6C"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П</w:t>
      </w:r>
      <w:r w:rsidR="005F38CF">
        <w:rPr>
          <w:rFonts w:ascii="Times New Roman" w:eastAsia="Calibri" w:hAnsi="Times New Roman" w:cs="Times New Roman"/>
          <w:sz w:val="28"/>
          <w:szCs w:val="28"/>
          <w:lang w:val="bg-BG"/>
        </w:rPr>
        <w:t>о указание от АУЕР, п</w:t>
      </w:r>
      <w:r w:rsidRPr="00BE2B92">
        <w:rPr>
          <w:rFonts w:ascii="Times New Roman" w:eastAsia="Calibri" w:hAnsi="Times New Roman" w:cs="Times New Roman"/>
          <w:sz w:val="28"/>
          <w:szCs w:val="28"/>
          <w:lang w:val="bg-BG"/>
        </w:rPr>
        <w:t xml:space="preserve">рограмите за насърчаване използването на енергията от възобновяеми източници на територията на общините трябва да са в пряка връзка с техните планове по енергийна ефективност. </w:t>
      </w:r>
      <w:r w:rsidR="00AD6D49">
        <w:rPr>
          <w:rFonts w:ascii="Times New Roman" w:eastAsia="Calibri" w:hAnsi="Times New Roman" w:cs="Times New Roman"/>
          <w:sz w:val="28"/>
          <w:szCs w:val="28"/>
          <w:lang w:val="bg-BG"/>
        </w:rPr>
        <w:t xml:space="preserve">Това ни накара да </w:t>
      </w:r>
      <w:r w:rsidR="00BF44BA">
        <w:rPr>
          <w:rFonts w:ascii="Times New Roman" w:eastAsia="Calibri" w:hAnsi="Times New Roman" w:cs="Times New Roman"/>
          <w:sz w:val="28"/>
          <w:szCs w:val="28"/>
          <w:lang w:val="bg-BG"/>
        </w:rPr>
        <w:t xml:space="preserve"> обединим мерките по двата закона – ЗЕВИ и ЗЕЕ, в настоящата краткосрочна програма и успоредно да се наблюдават резултатите от ефекта и по двата закона.</w:t>
      </w:r>
    </w:p>
    <w:p w:rsidR="001E3F6C" w:rsidRPr="00BE2B92" w:rsidRDefault="001E3F6C"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Резултатът от изпълнени</w:t>
      </w:r>
      <w:r w:rsidR="00EE7717">
        <w:rPr>
          <w:rFonts w:ascii="Times New Roman" w:eastAsia="Calibri" w:hAnsi="Times New Roman" w:cs="Times New Roman"/>
          <w:sz w:val="28"/>
          <w:szCs w:val="28"/>
          <w:lang w:val="bg-BG"/>
        </w:rPr>
        <w:t>ето на програмите би следвало да</w:t>
      </w:r>
      <w:r w:rsidRPr="00BE2B92">
        <w:rPr>
          <w:rFonts w:ascii="Times New Roman" w:eastAsia="Calibri" w:hAnsi="Times New Roman" w:cs="Times New Roman"/>
          <w:sz w:val="28"/>
          <w:szCs w:val="28"/>
          <w:lang w:val="bg-BG"/>
        </w:rPr>
        <w:t xml:space="preserve"> води до: </w:t>
      </w:r>
    </w:p>
    <w:p w:rsidR="001E3F6C" w:rsidRPr="00BE2B92" w:rsidRDefault="001E3F6C"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 намаляване на потреблението на енергия от конвенционални горива и енергия на територията на общината; </w:t>
      </w:r>
    </w:p>
    <w:p w:rsidR="001E3F6C" w:rsidRPr="00BE2B92" w:rsidRDefault="001E3F6C"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 повишаване сигурността на енергийните доставки; </w:t>
      </w:r>
    </w:p>
    <w:p w:rsidR="001E3F6C" w:rsidRPr="00BE2B92" w:rsidRDefault="001E3F6C"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 повишаване на трудовата заетост на територията на общината; </w:t>
      </w:r>
    </w:p>
    <w:p w:rsidR="001E3F6C" w:rsidRPr="00BE2B92" w:rsidRDefault="001E3F6C"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 намаляване на вредните емисии в атмосферния въздух; </w:t>
      </w:r>
    </w:p>
    <w:p w:rsidR="001E3F6C" w:rsidRDefault="001E3F6C"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sidRPr="00BE2B92">
        <w:rPr>
          <w:rFonts w:ascii="Times New Roman" w:eastAsia="Calibri" w:hAnsi="Times New Roman" w:cs="Times New Roman"/>
          <w:sz w:val="28"/>
          <w:szCs w:val="28"/>
          <w:lang w:val="bg-BG"/>
        </w:rPr>
        <w:t xml:space="preserve">- повишаване на благосъстоянието и намаляването на риска за здравето на населението. </w:t>
      </w:r>
    </w:p>
    <w:p w:rsidR="00BF44BA" w:rsidRDefault="00BF44BA"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bg-BG"/>
        </w:rPr>
        <w:t>Изградената система за улично осветление със използване на слънчева енергия чрез 486 фотоволтаични самостоятелни модула категорично доказа ефективността си през изтеклите 9 години от както е построена – постигнати са не само икономии, но и категорично покачване на качеството на социалния живот в почти всички населени места на община Кайнарджа</w:t>
      </w:r>
    </w:p>
    <w:p w:rsidR="00BF44BA" w:rsidRPr="00E034F9" w:rsidRDefault="00BF44BA"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r>
        <w:rPr>
          <w:rFonts w:ascii="Times New Roman" w:eastAsia="Calibri" w:hAnsi="Times New Roman" w:cs="Times New Roman"/>
          <w:sz w:val="28"/>
          <w:szCs w:val="28"/>
          <w:lang w:val="bg-BG"/>
        </w:rPr>
        <w:lastRenderedPageBreak/>
        <w:t>Построяването на новите ФтЕЦ на територията на цялата община Кайнарджа водят до големи икономии на въглеродни емисии и с всяка следваща година те ще се увеличават, защото централите ще заработят с пълния си капацитет.</w:t>
      </w:r>
      <w:r w:rsidR="00E034F9">
        <w:rPr>
          <w:rFonts w:ascii="Times New Roman" w:eastAsia="Calibri" w:hAnsi="Times New Roman" w:cs="Times New Roman"/>
          <w:sz w:val="28"/>
          <w:szCs w:val="28"/>
          <w:lang w:val="bg-BG"/>
        </w:rPr>
        <w:t xml:space="preserve"> За илюстрация на посоче</w:t>
      </w:r>
      <w:r w:rsidR="00930B6C">
        <w:rPr>
          <w:rFonts w:ascii="Times New Roman" w:eastAsia="Calibri" w:hAnsi="Times New Roman" w:cs="Times New Roman"/>
          <w:sz w:val="28"/>
          <w:szCs w:val="28"/>
          <w:lang w:val="bg-BG"/>
        </w:rPr>
        <w:t>ното е подготвена диаграмата по-</w:t>
      </w:r>
      <w:r w:rsidR="00E034F9">
        <w:rPr>
          <w:rFonts w:ascii="Times New Roman" w:eastAsia="Calibri" w:hAnsi="Times New Roman" w:cs="Times New Roman"/>
          <w:sz w:val="28"/>
          <w:szCs w:val="28"/>
          <w:lang w:val="bg-BG"/>
        </w:rPr>
        <w:t xml:space="preserve">долу, в която се виждат реално произведените количества електрическа енергия от различните видове </w:t>
      </w:r>
      <w:bookmarkStart w:id="46" w:name="_GoBack"/>
      <w:bookmarkEnd w:id="46"/>
      <w:r w:rsidR="00E034F9">
        <w:rPr>
          <w:rFonts w:ascii="Times New Roman" w:eastAsia="Calibri" w:hAnsi="Times New Roman" w:cs="Times New Roman"/>
          <w:sz w:val="28"/>
          <w:szCs w:val="28"/>
          <w:lang w:val="bg-BG"/>
        </w:rPr>
        <w:t>соларни инсталации през годините, включително и соларното улично осветление, и новите ФтЕЦ</w:t>
      </w:r>
      <w:r w:rsidR="00FF2314">
        <w:rPr>
          <w:rFonts w:ascii="Times New Roman" w:eastAsia="Calibri" w:hAnsi="Times New Roman" w:cs="Times New Roman"/>
          <w:sz w:val="28"/>
          <w:szCs w:val="28"/>
          <w:lang w:val="bg-BG"/>
        </w:rPr>
        <w:t xml:space="preserve"> в община Кайнарджа</w:t>
      </w:r>
    </w:p>
    <w:p w:rsidR="00B35FF8" w:rsidRPr="00BE2B92" w:rsidRDefault="00B35FF8" w:rsidP="001E3F6C">
      <w:pPr>
        <w:widowControl w:val="0"/>
        <w:autoSpaceDE w:val="0"/>
        <w:autoSpaceDN w:val="0"/>
        <w:spacing w:after="0" w:line="360" w:lineRule="auto"/>
        <w:ind w:firstLine="709"/>
        <w:jc w:val="both"/>
        <w:rPr>
          <w:rFonts w:ascii="Times New Roman" w:eastAsia="Calibri" w:hAnsi="Times New Roman" w:cs="Times New Roman"/>
          <w:sz w:val="28"/>
          <w:szCs w:val="28"/>
          <w:lang w:val="bg-BG"/>
        </w:rPr>
      </w:pPr>
    </w:p>
    <w:p w:rsidR="001E3F6C" w:rsidRPr="00BE2B92" w:rsidRDefault="00E034F9" w:rsidP="001E3F6C">
      <w:pPr>
        <w:rPr>
          <w:lang w:val="bg-BG"/>
        </w:rPr>
      </w:pPr>
      <w:r>
        <w:rPr>
          <w:noProof/>
          <w:lang w:val="en-GB" w:eastAsia="en-GB"/>
        </w:rPr>
        <w:drawing>
          <wp:inline distT="0" distB="0" distL="0" distR="0" wp14:anchorId="5E8589C6" wp14:editId="05933D02">
            <wp:extent cx="5972810" cy="5219700"/>
            <wp:effectExtent l="0" t="0" r="0" b="0"/>
            <wp:docPr id="10" name="Ди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sectPr w:rsidR="001E3F6C" w:rsidRPr="00BE2B92" w:rsidSect="00A60270">
      <w:footerReference w:type="default" r:id="rId18"/>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E21" w:rsidRDefault="006F2E21" w:rsidP="005D0C17">
      <w:pPr>
        <w:spacing w:after="0" w:line="240" w:lineRule="auto"/>
      </w:pPr>
      <w:r>
        <w:separator/>
      </w:r>
    </w:p>
  </w:endnote>
  <w:endnote w:type="continuationSeparator" w:id="0">
    <w:p w:rsidR="006F2E21" w:rsidRDefault="006F2E21" w:rsidP="005D0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7727"/>
      <w:docPartObj>
        <w:docPartGallery w:val="Page Numbers (Bottom of Page)"/>
        <w:docPartUnique/>
      </w:docPartObj>
    </w:sdtPr>
    <w:sdtEndPr>
      <w:rPr>
        <w:rFonts w:ascii="Times New Roman" w:hAnsi="Times New Roman" w:cs="Times New Roman"/>
        <w:noProof/>
        <w:sz w:val="24"/>
        <w:szCs w:val="24"/>
      </w:rPr>
    </w:sdtEndPr>
    <w:sdtContent>
      <w:p w:rsidR="00854309" w:rsidRPr="005D0C17" w:rsidRDefault="00854309">
        <w:pPr>
          <w:pStyle w:val="a9"/>
          <w:jc w:val="right"/>
          <w:rPr>
            <w:rFonts w:ascii="Times New Roman" w:hAnsi="Times New Roman" w:cs="Times New Roman"/>
            <w:sz w:val="24"/>
            <w:szCs w:val="24"/>
          </w:rPr>
        </w:pPr>
        <w:r w:rsidRPr="005D0C17">
          <w:rPr>
            <w:rFonts w:ascii="Times New Roman" w:hAnsi="Times New Roman" w:cs="Times New Roman"/>
            <w:sz w:val="24"/>
            <w:szCs w:val="24"/>
          </w:rPr>
          <w:fldChar w:fldCharType="begin"/>
        </w:r>
        <w:r w:rsidRPr="005D0C17">
          <w:rPr>
            <w:rFonts w:ascii="Times New Roman" w:hAnsi="Times New Roman" w:cs="Times New Roman"/>
            <w:sz w:val="24"/>
            <w:szCs w:val="24"/>
          </w:rPr>
          <w:instrText xml:space="preserve"> PAGE   \* MERGEFORMAT </w:instrText>
        </w:r>
        <w:r w:rsidRPr="005D0C17">
          <w:rPr>
            <w:rFonts w:ascii="Times New Roman" w:hAnsi="Times New Roman" w:cs="Times New Roman"/>
            <w:sz w:val="24"/>
            <w:szCs w:val="24"/>
          </w:rPr>
          <w:fldChar w:fldCharType="separate"/>
        </w:r>
        <w:r w:rsidR="00930B6C">
          <w:rPr>
            <w:rFonts w:ascii="Times New Roman" w:hAnsi="Times New Roman" w:cs="Times New Roman"/>
            <w:noProof/>
            <w:sz w:val="24"/>
            <w:szCs w:val="24"/>
          </w:rPr>
          <w:t>42</w:t>
        </w:r>
        <w:r w:rsidRPr="005D0C17">
          <w:rPr>
            <w:rFonts w:ascii="Times New Roman" w:hAnsi="Times New Roman" w:cs="Times New Roman"/>
            <w:noProof/>
            <w:sz w:val="24"/>
            <w:szCs w:val="24"/>
          </w:rPr>
          <w:fldChar w:fldCharType="end"/>
        </w:r>
      </w:p>
    </w:sdtContent>
  </w:sdt>
  <w:p w:rsidR="00854309" w:rsidRDefault="00854309">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E21" w:rsidRDefault="006F2E21" w:rsidP="005D0C17">
      <w:pPr>
        <w:spacing w:after="0" w:line="240" w:lineRule="auto"/>
      </w:pPr>
      <w:r>
        <w:separator/>
      </w:r>
    </w:p>
  </w:footnote>
  <w:footnote w:type="continuationSeparator" w:id="0">
    <w:p w:rsidR="006F2E21" w:rsidRDefault="006F2E21" w:rsidP="005D0C17">
      <w:pPr>
        <w:spacing w:after="0" w:line="240" w:lineRule="auto"/>
      </w:pPr>
      <w:r>
        <w:continuationSeparator/>
      </w:r>
    </w:p>
  </w:footnote>
  <w:footnote w:id="1">
    <w:p w:rsidR="00854309" w:rsidRPr="005C42AE" w:rsidRDefault="00854309" w:rsidP="005C42AE">
      <w:pPr>
        <w:pStyle w:val="af1"/>
        <w:rPr>
          <w:rFonts w:ascii="Times New Roman" w:hAnsi="Times New Roman"/>
          <w:lang w:val="ru-RU"/>
        </w:rPr>
      </w:pPr>
      <w:r>
        <w:rPr>
          <w:rStyle w:val="af3"/>
        </w:rPr>
        <w:footnoteRef/>
      </w:r>
      <w:r w:rsidRPr="005C42AE">
        <w:rPr>
          <w:lang w:val="ru-RU"/>
        </w:rPr>
        <w:t xml:space="preserve"> </w:t>
      </w:r>
      <w:r w:rsidRPr="005C42AE">
        <w:rPr>
          <w:rFonts w:ascii="Times New Roman" w:hAnsi="Times New Roman"/>
          <w:i/>
          <w:lang w:val="ru-RU"/>
        </w:rPr>
        <w:t xml:space="preserve">Извадката е от доклад на тема „България и Румъния: търговски потоци и експортна специализация (2007 – 2015 г.)”. Справка на следния интернет адрес: </w:t>
      </w:r>
      <w:r w:rsidRPr="00181A72">
        <w:rPr>
          <w:rFonts w:ascii="Times New Roman" w:hAnsi="Times New Roman"/>
          <w:i/>
        </w:rPr>
        <w:t>https</w:t>
      </w:r>
      <w:r w:rsidRPr="005C42AE">
        <w:rPr>
          <w:rFonts w:ascii="Times New Roman" w:hAnsi="Times New Roman"/>
          <w:i/>
          <w:lang w:val="ru-RU"/>
        </w:rPr>
        <w:t>://</w:t>
      </w:r>
      <w:r w:rsidRPr="00181A72">
        <w:rPr>
          <w:rFonts w:ascii="Times New Roman" w:hAnsi="Times New Roman"/>
          <w:i/>
        </w:rPr>
        <w:t>www</w:t>
      </w:r>
      <w:r w:rsidRPr="005C42AE">
        <w:rPr>
          <w:rFonts w:ascii="Times New Roman" w:hAnsi="Times New Roman"/>
          <w:i/>
          <w:lang w:val="ru-RU"/>
        </w:rPr>
        <w:t>.</w:t>
      </w:r>
      <w:r w:rsidRPr="00181A72">
        <w:rPr>
          <w:rFonts w:ascii="Times New Roman" w:hAnsi="Times New Roman"/>
          <w:i/>
        </w:rPr>
        <w:t>researchgate</w:t>
      </w:r>
      <w:r w:rsidRPr="005C42AE">
        <w:rPr>
          <w:rFonts w:ascii="Times New Roman" w:hAnsi="Times New Roman"/>
          <w:i/>
          <w:lang w:val="ru-RU"/>
        </w:rPr>
        <w:t>.</w:t>
      </w:r>
      <w:r w:rsidRPr="00181A72">
        <w:rPr>
          <w:rFonts w:ascii="Times New Roman" w:hAnsi="Times New Roman"/>
          <w:i/>
        </w:rPr>
        <w:t>net</w:t>
      </w:r>
      <w:r w:rsidRPr="005C42AE">
        <w:rPr>
          <w:rFonts w:ascii="Times New Roman" w:hAnsi="Times New Roman"/>
          <w:i/>
          <w:lang w:val="ru-RU"/>
        </w:rPr>
        <w:t>/</w:t>
      </w:r>
      <w:r w:rsidRPr="00181A72">
        <w:rPr>
          <w:rFonts w:ascii="Times New Roman" w:hAnsi="Times New Roman"/>
          <w:i/>
        </w:rPr>
        <w:t>publication</w:t>
      </w:r>
      <w:r w:rsidRPr="005C42AE">
        <w:rPr>
          <w:rFonts w:ascii="Times New Roman" w:hAnsi="Times New Roman"/>
          <w:i/>
          <w:lang w:val="ru-RU"/>
        </w:rPr>
        <w:t>/320615489_</w:t>
      </w:r>
      <w:r w:rsidRPr="00181A72">
        <w:rPr>
          <w:rFonts w:ascii="Times New Roman" w:hAnsi="Times New Roman"/>
          <w:i/>
        </w:rPr>
        <w:t>Blga</w:t>
      </w:r>
      <w:r>
        <w:rPr>
          <w:rFonts w:ascii="Times New Roman" w:hAnsi="Times New Roman"/>
          <w:i/>
        </w:rPr>
        <w:t>ria</w:t>
      </w:r>
      <w:r w:rsidRPr="005C42AE">
        <w:rPr>
          <w:rFonts w:ascii="Times New Roman" w:hAnsi="Times New Roman"/>
          <w:i/>
          <w:lang w:val="ru-RU"/>
        </w:rPr>
        <w:t>_</w:t>
      </w:r>
      <w:r>
        <w:rPr>
          <w:rFonts w:ascii="Times New Roman" w:hAnsi="Times New Roman"/>
          <w:i/>
        </w:rPr>
        <w:t>i</w:t>
      </w:r>
      <w:r w:rsidRPr="005C42AE">
        <w:rPr>
          <w:rFonts w:ascii="Times New Roman" w:hAnsi="Times New Roman"/>
          <w:i/>
          <w:lang w:val="ru-RU"/>
        </w:rPr>
        <w:t>_</w:t>
      </w:r>
      <w:r>
        <w:rPr>
          <w:rFonts w:ascii="Times New Roman" w:hAnsi="Times New Roman"/>
          <w:i/>
        </w:rPr>
        <w:t>Rumnia</w:t>
      </w:r>
      <w:r w:rsidRPr="005C42AE">
        <w:rPr>
          <w:rFonts w:ascii="Times New Roman" w:hAnsi="Times New Roman"/>
          <w:i/>
          <w:lang w:val="ru-RU"/>
        </w:rPr>
        <w:t>_</w:t>
      </w:r>
      <w:r>
        <w:rPr>
          <w:rFonts w:ascii="Times New Roman" w:hAnsi="Times New Roman"/>
          <w:i/>
        </w:rPr>
        <w:t>trgovski</w:t>
      </w:r>
      <w:r w:rsidRPr="005C42AE">
        <w:rPr>
          <w:rFonts w:ascii="Times New Roman" w:hAnsi="Times New Roman"/>
          <w:i/>
          <w:lang w:val="ru-RU"/>
        </w:rPr>
        <w:t>_</w:t>
      </w:r>
      <w:r>
        <w:rPr>
          <w:rFonts w:ascii="Times New Roman" w:hAnsi="Times New Roman"/>
          <w:i/>
        </w:rPr>
        <w:t>potoci</w:t>
      </w:r>
      <w:r w:rsidRPr="005C42AE">
        <w:rPr>
          <w:rFonts w:ascii="Times New Roman" w:hAnsi="Times New Roman"/>
          <w:i/>
          <w:lang w:val="ru-RU"/>
        </w:rPr>
        <w:t>_</w:t>
      </w:r>
      <w:r>
        <w:rPr>
          <w:rFonts w:ascii="Times New Roman" w:hAnsi="Times New Roman"/>
          <w:i/>
        </w:rPr>
        <w:t>i</w:t>
      </w:r>
      <w:r w:rsidRPr="005C42AE">
        <w:rPr>
          <w:rFonts w:ascii="Times New Roman" w:hAnsi="Times New Roman"/>
          <w:i/>
          <w:lang w:val="ru-RU"/>
        </w:rPr>
        <w:t>_</w:t>
      </w:r>
      <w:r w:rsidRPr="00181A72">
        <w:rPr>
          <w:rFonts w:ascii="Times New Roman" w:hAnsi="Times New Roman"/>
          <w:i/>
        </w:rPr>
        <w:t>eksportna</w:t>
      </w:r>
      <w:r w:rsidRPr="005C42AE">
        <w:rPr>
          <w:rFonts w:ascii="Times New Roman" w:hAnsi="Times New Roman"/>
          <w:i/>
          <w:lang w:val="ru-RU"/>
        </w:rPr>
        <w:t>_</w:t>
      </w:r>
      <w:r w:rsidRPr="00181A72">
        <w:rPr>
          <w:rFonts w:ascii="Times New Roman" w:hAnsi="Times New Roman"/>
          <w:i/>
        </w:rPr>
        <w:t>specializacia</w:t>
      </w:r>
      <w:r w:rsidRPr="005C42AE">
        <w:rPr>
          <w:rFonts w:ascii="Times New Roman" w:hAnsi="Times New Roman"/>
          <w:i/>
          <w:lang w:val="ru-RU"/>
        </w:rPr>
        <w:t>_2007_-_2015_</w:t>
      </w:r>
      <w:r w:rsidRPr="00181A72">
        <w:rPr>
          <w:rFonts w:ascii="Times New Roman" w:hAnsi="Times New Roman"/>
          <w:i/>
        </w:rPr>
        <w:t>g</w:t>
      </w:r>
      <w:r w:rsidRPr="005C42AE">
        <w:rPr>
          <w:rFonts w:ascii="Times New Roman" w:hAnsi="Times New Roman"/>
          <w:i/>
          <w:lang w:val="ru-RU"/>
        </w:rPr>
        <w:t xml:space="preserve"> [</w:t>
      </w:r>
      <w:r w:rsidRPr="00181A72">
        <w:rPr>
          <w:rFonts w:ascii="Times New Roman" w:hAnsi="Times New Roman"/>
          <w:i/>
        </w:rPr>
        <w:t>accessed</w:t>
      </w:r>
      <w:r w:rsidRPr="005C42AE">
        <w:rPr>
          <w:rFonts w:ascii="Times New Roman" w:hAnsi="Times New Roman"/>
          <w:i/>
          <w:lang w:val="ru-RU"/>
        </w:rPr>
        <w:t xml:space="preserve"> </w:t>
      </w:r>
      <w:r w:rsidRPr="00181A72">
        <w:rPr>
          <w:rFonts w:ascii="Times New Roman" w:hAnsi="Times New Roman"/>
          <w:i/>
        </w:rPr>
        <w:t>Dec</w:t>
      </w:r>
      <w:r w:rsidRPr="005C42AE">
        <w:rPr>
          <w:rFonts w:ascii="Times New Roman" w:hAnsi="Times New Roman"/>
          <w:i/>
          <w:lang w:val="ru-RU"/>
        </w:rPr>
        <w:t xml:space="preserve"> 12 2018].</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2481E"/>
    <w:multiLevelType w:val="multilevel"/>
    <w:tmpl w:val="F9F252D8"/>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20A04C04"/>
    <w:multiLevelType w:val="hybridMultilevel"/>
    <w:tmpl w:val="F4D09246"/>
    <w:lvl w:ilvl="0" w:tplc="E312DDE8">
      <w:start w:val="10"/>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24A20480"/>
    <w:multiLevelType w:val="hybridMultilevel"/>
    <w:tmpl w:val="C4545A74"/>
    <w:lvl w:ilvl="0" w:tplc="E312DDE8">
      <w:start w:val="10"/>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255745E6"/>
    <w:multiLevelType w:val="hybridMultilevel"/>
    <w:tmpl w:val="7528FDA4"/>
    <w:lvl w:ilvl="0" w:tplc="8FBE09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6931B95"/>
    <w:multiLevelType w:val="multilevel"/>
    <w:tmpl w:val="162E47A6"/>
    <w:lvl w:ilvl="0">
      <w:start w:val="1"/>
      <w:numFmt w:val="decimal"/>
      <w:pStyle w:val="1"/>
      <w:lvlText w:val="%1."/>
      <w:lvlJc w:val="left"/>
      <w:pPr>
        <w:ind w:left="720" w:hanging="360"/>
      </w:pPr>
      <w:rPr>
        <w:rFonts w:hint="default"/>
        <w:b/>
        <w:i w:val="0"/>
      </w:rPr>
    </w:lvl>
    <w:lvl w:ilvl="1">
      <w:start w:val="2"/>
      <w:numFmt w:val="decimal"/>
      <w:isLgl/>
      <w:lvlText w:val="%1.%2."/>
      <w:lvlJc w:val="left"/>
      <w:pPr>
        <w:ind w:left="1287" w:hanging="720"/>
      </w:pPr>
      <w:rPr>
        <w:rFonts w:hint="default"/>
        <w:i w:val="0"/>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5" w15:restartNumberingAfterBreak="0">
    <w:nsid w:val="32BB5DB2"/>
    <w:multiLevelType w:val="hybridMultilevel"/>
    <w:tmpl w:val="52248796"/>
    <w:lvl w:ilvl="0" w:tplc="D85618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C546B63"/>
    <w:multiLevelType w:val="hybridMultilevel"/>
    <w:tmpl w:val="9294C5BA"/>
    <w:lvl w:ilvl="0" w:tplc="36DE3E4E">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4EFD78FE"/>
    <w:multiLevelType w:val="hybridMultilevel"/>
    <w:tmpl w:val="A75E5694"/>
    <w:lvl w:ilvl="0" w:tplc="50D2DDC6">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8" w15:restartNumberingAfterBreak="0">
    <w:nsid w:val="56A65599"/>
    <w:multiLevelType w:val="hybridMultilevel"/>
    <w:tmpl w:val="430ED832"/>
    <w:lvl w:ilvl="0" w:tplc="E312DDE8">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7D59C0"/>
    <w:multiLevelType w:val="hybridMultilevel"/>
    <w:tmpl w:val="ACBAF3A0"/>
    <w:lvl w:ilvl="0" w:tplc="E312DDE8">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5C7D41"/>
    <w:multiLevelType w:val="hybridMultilevel"/>
    <w:tmpl w:val="768AE5F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5"/>
  </w:num>
  <w:num w:numId="4">
    <w:abstractNumId w:val="2"/>
  </w:num>
  <w:num w:numId="5">
    <w:abstractNumId w:val="9"/>
  </w:num>
  <w:num w:numId="6">
    <w:abstractNumId w:val="4"/>
  </w:num>
  <w:num w:numId="7">
    <w:abstractNumId w:val="0"/>
  </w:num>
  <w:num w:numId="8">
    <w:abstractNumId w:val="10"/>
  </w:num>
  <w:num w:numId="9">
    <w:abstractNumId w:val="7"/>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C3E69"/>
    <w:rsid w:val="0000048C"/>
    <w:rsid w:val="0000674D"/>
    <w:rsid w:val="000453FF"/>
    <w:rsid w:val="000919E6"/>
    <w:rsid w:val="000D02B0"/>
    <w:rsid w:val="00134639"/>
    <w:rsid w:val="00135116"/>
    <w:rsid w:val="00144A77"/>
    <w:rsid w:val="00150A7D"/>
    <w:rsid w:val="001536DC"/>
    <w:rsid w:val="0016458B"/>
    <w:rsid w:val="00165218"/>
    <w:rsid w:val="00166808"/>
    <w:rsid w:val="00184120"/>
    <w:rsid w:val="001D6797"/>
    <w:rsid w:val="001E2DDD"/>
    <w:rsid w:val="001E3F6C"/>
    <w:rsid w:val="001E5F77"/>
    <w:rsid w:val="00234449"/>
    <w:rsid w:val="00250538"/>
    <w:rsid w:val="00271073"/>
    <w:rsid w:val="002D6E00"/>
    <w:rsid w:val="00303E4D"/>
    <w:rsid w:val="00317ACD"/>
    <w:rsid w:val="003306FA"/>
    <w:rsid w:val="00340709"/>
    <w:rsid w:val="003767E2"/>
    <w:rsid w:val="00382A39"/>
    <w:rsid w:val="003846E2"/>
    <w:rsid w:val="003C72BB"/>
    <w:rsid w:val="003D5831"/>
    <w:rsid w:val="003F18C2"/>
    <w:rsid w:val="00411BC8"/>
    <w:rsid w:val="00444611"/>
    <w:rsid w:val="004616D8"/>
    <w:rsid w:val="00471A06"/>
    <w:rsid w:val="004935F3"/>
    <w:rsid w:val="00495377"/>
    <w:rsid w:val="004953A2"/>
    <w:rsid w:val="00496DA2"/>
    <w:rsid w:val="004A0097"/>
    <w:rsid w:val="004A5AA1"/>
    <w:rsid w:val="004C31A5"/>
    <w:rsid w:val="004F53AE"/>
    <w:rsid w:val="00517575"/>
    <w:rsid w:val="00540BB2"/>
    <w:rsid w:val="005469B3"/>
    <w:rsid w:val="00555904"/>
    <w:rsid w:val="005C3E69"/>
    <w:rsid w:val="005C42AE"/>
    <w:rsid w:val="005D0C17"/>
    <w:rsid w:val="005D1019"/>
    <w:rsid w:val="005F38CF"/>
    <w:rsid w:val="00601567"/>
    <w:rsid w:val="0062314E"/>
    <w:rsid w:val="00642EB5"/>
    <w:rsid w:val="006505D6"/>
    <w:rsid w:val="00651894"/>
    <w:rsid w:val="0066729E"/>
    <w:rsid w:val="006741C9"/>
    <w:rsid w:val="006A35FE"/>
    <w:rsid w:val="006B2E09"/>
    <w:rsid w:val="006D0457"/>
    <w:rsid w:val="006D5334"/>
    <w:rsid w:val="006F1A10"/>
    <w:rsid w:val="006F2E21"/>
    <w:rsid w:val="007419D1"/>
    <w:rsid w:val="00761660"/>
    <w:rsid w:val="00775338"/>
    <w:rsid w:val="007861DD"/>
    <w:rsid w:val="0079346A"/>
    <w:rsid w:val="00796D90"/>
    <w:rsid w:val="007C67BD"/>
    <w:rsid w:val="007D10B1"/>
    <w:rsid w:val="007F3869"/>
    <w:rsid w:val="00836267"/>
    <w:rsid w:val="00845A01"/>
    <w:rsid w:val="00854294"/>
    <w:rsid w:val="00854309"/>
    <w:rsid w:val="00862FB4"/>
    <w:rsid w:val="00865F23"/>
    <w:rsid w:val="00886D4B"/>
    <w:rsid w:val="008B4876"/>
    <w:rsid w:val="008D6116"/>
    <w:rsid w:val="00904CA3"/>
    <w:rsid w:val="009238A4"/>
    <w:rsid w:val="00930B6C"/>
    <w:rsid w:val="0095549C"/>
    <w:rsid w:val="009554C0"/>
    <w:rsid w:val="0095701C"/>
    <w:rsid w:val="00962C82"/>
    <w:rsid w:val="009726B6"/>
    <w:rsid w:val="009918BC"/>
    <w:rsid w:val="009A5972"/>
    <w:rsid w:val="009B03A6"/>
    <w:rsid w:val="009B54A0"/>
    <w:rsid w:val="009E1CA8"/>
    <w:rsid w:val="009E26AC"/>
    <w:rsid w:val="009F7F9D"/>
    <w:rsid w:val="00A159D4"/>
    <w:rsid w:val="00A26161"/>
    <w:rsid w:val="00A31B29"/>
    <w:rsid w:val="00A34B4C"/>
    <w:rsid w:val="00A57010"/>
    <w:rsid w:val="00A60270"/>
    <w:rsid w:val="00A70CE3"/>
    <w:rsid w:val="00AA3CC3"/>
    <w:rsid w:val="00AB2631"/>
    <w:rsid w:val="00AB4704"/>
    <w:rsid w:val="00AB55AB"/>
    <w:rsid w:val="00AD6D49"/>
    <w:rsid w:val="00B2505B"/>
    <w:rsid w:val="00B35FF8"/>
    <w:rsid w:val="00B409AF"/>
    <w:rsid w:val="00B45AF5"/>
    <w:rsid w:val="00B6155C"/>
    <w:rsid w:val="00B87369"/>
    <w:rsid w:val="00B93882"/>
    <w:rsid w:val="00B949E1"/>
    <w:rsid w:val="00BE121B"/>
    <w:rsid w:val="00BE2B92"/>
    <w:rsid w:val="00BE657D"/>
    <w:rsid w:val="00BF44BA"/>
    <w:rsid w:val="00C006C5"/>
    <w:rsid w:val="00C1133E"/>
    <w:rsid w:val="00C1517E"/>
    <w:rsid w:val="00C53A11"/>
    <w:rsid w:val="00C6330F"/>
    <w:rsid w:val="00C67DD5"/>
    <w:rsid w:val="00C774BF"/>
    <w:rsid w:val="00CA3C1F"/>
    <w:rsid w:val="00CC22E7"/>
    <w:rsid w:val="00CF7F03"/>
    <w:rsid w:val="00D10F95"/>
    <w:rsid w:val="00D72514"/>
    <w:rsid w:val="00D77B0B"/>
    <w:rsid w:val="00D843CF"/>
    <w:rsid w:val="00D87A40"/>
    <w:rsid w:val="00DC093E"/>
    <w:rsid w:val="00DD4C5F"/>
    <w:rsid w:val="00E034F9"/>
    <w:rsid w:val="00E30B5D"/>
    <w:rsid w:val="00E50DF2"/>
    <w:rsid w:val="00E519FC"/>
    <w:rsid w:val="00E53F08"/>
    <w:rsid w:val="00E87C2C"/>
    <w:rsid w:val="00E92A46"/>
    <w:rsid w:val="00EA0D46"/>
    <w:rsid w:val="00EA24FB"/>
    <w:rsid w:val="00EB0639"/>
    <w:rsid w:val="00EC2447"/>
    <w:rsid w:val="00ED7138"/>
    <w:rsid w:val="00EE6747"/>
    <w:rsid w:val="00EE7717"/>
    <w:rsid w:val="00EE7D06"/>
    <w:rsid w:val="00F1678E"/>
    <w:rsid w:val="00F30B8F"/>
    <w:rsid w:val="00F63FF3"/>
    <w:rsid w:val="00F8239F"/>
    <w:rsid w:val="00F9632F"/>
    <w:rsid w:val="00FB409E"/>
    <w:rsid w:val="00FB525C"/>
    <w:rsid w:val="00FC62E5"/>
    <w:rsid w:val="00FF231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55167"/>
  <w15:docId w15:val="{D679C2E4-C0D5-462A-8138-75F2CF997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0270"/>
  </w:style>
  <w:style w:type="paragraph" w:styleId="10">
    <w:name w:val="heading 1"/>
    <w:basedOn w:val="a"/>
    <w:next w:val="a"/>
    <w:link w:val="11"/>
    <w:uiPriority w:val="9"/>
    <w:qFormat/>
    <w:rsid w:val="005D0C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4616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4616D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semiHidden/>
    <w:unhideWhenUsed/>
    <w:qFormat/>
    <w:rsid w:val="005C42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5D0C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лавие Знак"/>
    <w:basedOn w:val="a0"/>
    <w:link w:val="a3"/>
    <w:uiPriority w:val="10"/>
    <w:rsid w:val="005D0C17"/>
    <w:rPr>
      <w:rFonts w:asciiTheme="majorHAnsi" w:eastAsiaTheme="majorEastAsia" w:hAnsiTheme="majorHAnsi" w:cstheme="majorBidi"/>
      <w:spacing w:val="-10"/>
      <w:kern w:val="28"/>
      <w:sz w:val="56"/>
      <w:szCs w:val="56"/>
    </w:rPr>
  </w:style>
  <w:style w:type="character" w:customStyle="1" w:styleId="11">
    <w:name w:val="Заглавие 1 Знак"/>
    <w:basedOn w:val="a0"/>
    <w:link w:val="10"/>
    <w:uiPriority w:val="9"/>
    <w:rsid w:val="005D0C17"/>
    <w:rPr>
      <w:rFonts w:asciiTheme="majorHAnsi" w:eastAsiaTheme="majorEastAsia" w:hAnsiTheme="majorHAnsi" w:cstheme="majorBidi"/>
      <w:color w:val="2E74B5" w:themeColor="accent1" w:themeShade="BF"/>
      <w:sz w:val="32"/>
      <w:szCs w:val="32"/>
    </w:rPr>
  </w:style>
  <w:style w:type="paragraph" w:styleId="a5">
    <w:name w:val="TOC Heading"/>
    <w:basedOn w:val="10"/>
    <w:next w:val="a"/>
    <w:uiPriority w:val="39"/>
    <w:unhideWhenUsed/>
    <w:qFormat/>
    <w:rsid w:val="005D0C17"/>
    <w:pPr>
      <w:outlineLvl w:val="9"/>
    </w:pPr>
  </w:style>
  <w:style w:type="paragraph" w:styleId="12">
    <w:name w:val="toc 1"/>
    <w:basedOn w:val="a"/>
    <w:next w:val="a"/>
    <w:autoRedefine/>
    <w:uiPriority w:val="39"/>
    <w:unhideWhenUsed/>
    <w:rsid w:val="00C6330F"/>
    <w:pPr>
      <w:tabs>
        <w:tab w:val="right" w:leader="dot" w:pos="9396"/>
      </w:tabs>
      <w:spacing w:after="100"/>
      <w:jc w:val="both"/>
    </w:pPr>
  </w:style>
  <w:style w:type="character" w:styleId="a6">
    <w:name w:val="Hyperlink"/>
    <w:basedOn w:val="a0"/>
    <w:uiPriority w:val="99"/>
    <w:unhideWhenUsed/>
    <w:rsid w:val="005D0C17"/>
    <w:rPr>
      <w:color w:val="0563C1" w:themeColor="hyperlink"/>
      <w:u w:val="single"/>
    </w:rPr>
  </w:style>
  <w:style w:type="paragraph" w:customStyle="1" w:styleId="Default">
    <w:name w:val="Default"/>
    <w:rsid w:val="005D0C17"/>
    <w:pPr>
      <w:autoSpaceDE w:val="0"/>
      <w:autoSpaceDN w:val="0"/>
      <w:adjustRightInd w:val="0"/>
      <w:spacing w:after="0" w:line="240" w:lineRule="auto"/>
    </w:pPr>
    <w:rPr>
      <w:rFonts w:ascii="Calibri" w:hAnsi="Calibri" w:cs="Calibri"/>
      <w:color w:val="000000"/>
      <w:sz w:val="24"/>
      <w:szCs w:val="24"/>
    </w:rPr>
  </w:style>
  <w:style w:type="paragraph" w:styleId="a7">
    <w:name w:val="header"/>
    <w:basedOn w:val="a"/>
    <w:link w:val="a8"/>
    <w:uiPriority w:val="99"/>
    <w:unhideWhenUsed/>
    <w:rsid w:val="005D0C17"/>
    <w:pPr>
      <w:tabs>
        <w:tab w:val="center" w:pos="4703"/>
        <w:tab w:val="right" w:pos="9406"/>
      </w:tabs>
      <w:spacing w:after="0" w:line="240" w:lineRule="auto"/>
    </w:pPr>
  </w:style>
  <w:style w:type="character" w:customStyle="1" w:styleId="a8">
    <w:name w:val="Горен колонтитул Знак"/>
    <w:basedOn w:val="a0"/>
    <w:link w:val="a7"/>
    <w:uiPriority w:val="99"/>
    <w:rsid w:val="005D0C17"/>
  </w:style>
  <w:style w:type="paragraph" w:styleId="a9">
    <w:name w:val="footer"/>
    <w:basedOn w:val="a"/>
    <w:link w:val="aa"/>
    <w:uiPriority w:val="99"/>
    <w:unhideWhenUsed/>
    <w:rsid w:val="005D0C17"/>
    <w:pPr>
      <w:tabs>
        <w:tab w:val="center" w:pos="4703"/>
        <w:tab w:val="right" w:pos="9406"/>
      </w:tabs>
      <w:spacing w:after="0" w:line="240" w:lineRule="auto"/>
    </w:pPr>
  </w:style>
  <w:style w:type="character" w:customStyle="1" w:styleId="aa">
    <w:name w:val="Долен колонтитул Знак"/>
    <w:basedOn w:val="a0"/>
    <w:link w:val="a9"/>
    <w:uiPriority w:val="99"/>
    <w:rsid w:val="005D0C17"/>
  </w:style>
  <w:style w:type="paragraph" w:styleId="ab">
    <w:name w:val="List Paragraph"/>
    <w:basedOn w:val="a"/>
    <w:uiPriority w:val="34"/>
    <w:qFormat/>
    <w:rsid w:val="00DD4C5F"/>
    <w:pPr>
      <w:ind w:left="720"/>
      <w:contextualSpacing/>
    </w:pPr>
  </w:style>
  <w:style w:type="character" w:customStyle="1" w:styleId="30">
    <w:name w:val="Заглавие 3 Знак"/>
    <w:basedOn w:val="a0"/>
    <w:link w:val="3"/>
    <w:uiPriority w:val="9"/>
    <w:semiHidden/>
    <w:rsid w:val="004616D8"/>
    <w:rPr>
      <w:rFonts w:asciiTheme="majorHAnsi" w:eastAsiaTheme="majorEastAsia" w:hAnsiTheme="majorHAnsi" w:cstheme="majorBidi"/>
      <w:color w:val="1F4D78" w:themeColor="accent1" w:themeShade="7F"/>
      <w:sz w:val="24"/>
      <w:szCs w:val="24"/>
    </w:rPr>
  </w:style>
  <w:style w:type="character" w:customStyle="1" w:styleId="40">
    <w:name w:val="Заглавие 4 Знак"/>
    <w:basedOn w:val="a0"/>
    <w:link w:val="4"/>
    <w:uiPriority w:val="9"/>
    <w:semiHidden/>
    <w:rsid w:val="004616D8"/>
    <w:rPr>
      <w:rFonts w:asciiTheme="majorHAnsi" w:eastAsiaTheme="majorEastAsia" w:hAnsiTheme="majorHAnsi" w:cstheme="majorBidi"/>
      <w:i/>
      <w:iCs/>
      <w:color w:val="2E74B5" w:themeColor="accent1" w:themeShade="BF"/>
    </w:rPr>
  </w:style>
  <w:style w:type="paragraph" w:styleId="ac">
    <w:name w:val="Body Text"/>
    <w:basedOn w:val="a"/>
    <w:link w:val="ad"/>
    <w:uiPriority w:val="1"/>
    <w:qFormat/>
    <w:rsid w:val="004616D8"/>
    <w:pPr>
      <w:widowControl w:val="0"/>
      <w:autoSpaceDE w:val="0"/>
      <w:autoSpaceDN w:val="0"/>
      <w:spacing w:after="0" w:line="240" w:lineRule="auto"/>
    </w:pPr>
    <w:rPr>
      <w:rFonts w:ascii="Calibri" w:eastAsia="Calibri" w:hAnsi="Calibri" w:cs="Calibri"/>
      <w:lang w:val="bg-BG"/>
    </w:rPr>
  </w:style>
  <w:style w:type="character" w:customStyle="1" w:styleId="ad">
    <w:name w:val="Основен текст Знак"/>
    <w:basedOn w:val="a0"/>
    <w:link w:val="ac"/>
    <w:uiPriority w:val="1"/>
    <w:rsid w:val="004616D8"/>
    <w:rPr>
      <w:rFonts w:ascii="Calibri" w:eastAsia="Calibri" w:hAnsi="Calibri" w:cs="Calibri"/>
      <w:lang w:val="bg-BG"/>
    </w:rPr>
  </w:style>
  <w:style w:type="paragraph" w:styleId="ae">
    <w:name w:val="Balloon Text"/>
    <w:basedOn w:val="a"/>
    <w:link w:val="af"/>
    <w:uiPriority w:val="99"/>
    <w:semiHidden/>
    <w:unhideWhenUsed/>
    <w:rsid w:val="004616D8"/>
    <w:pPr>
      <w:spacing w:after="0" w:line="240" w:lineRule="auto"/>
    </w:pPr>
    <w:rPr>
      <w:rFonts w:ascii="Segoe UI" w:hAnsi="Segoe UI" w:cs="Segoe UI"/>
      <w:sz w:val="18"/>
      <w:szCs w:val="18"/>
    </w:rPr>
  </w:style>
  <w:style w:type="character" w:customStyle="1" w:styleId="af">
    <w:name w:val="Изнесен текст Знак"/>
    <w:basedOn w:val="a0"/>
    <w:link w:val="ae"/>
    <w:uiPriority w:val="99"/>
    <w:semiHidden/>
    <w:rsid w:val="004616D8"/>
    <w:rPr>
      <w:rFonts w:ascii="Segoe UI" w:hAnsi="Segoe UI" w:cs="Segoe UI"/>
      <w:sz w:val="18"/>
      <w:szCs w:val="18"/>
    </w:rPr>
  </w:style>
  <w:style w:type="table" w:styleId="af0">
    <w:name w:val="Table Grid"/>
    <w:basedOn w:val="a1"/>
    <w:uiPriority w:val="39"/>
    <w:rsid w:val="00845A01"/>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лавие 6 Знак"/>
    <w:basedOn w:val="a0"/>
    <w:link w:val="6"/>
    <w:uiPriority w:val="9"/>
    <w:semiHidden/>
    <w:rsid w:val="005C42AE"/>
    <w:rPr>
      <w:rFonts w:asciiTheme="majorHAnsi" w:eastAsiaTheme="majorEastAsia" w:hAnsiTheme="majorHAnsi" w:cstheme="majorBidi"/>
      <w:color w:val="1F4D78" w:themeColor="accent1" w:themeShade="7F"/>
    </w:rPr>
  </w:style>
  <w:style w:type="paragraph" w:styleId="af1">
    <w:name w:val="footnote text"/>
    <w:basedOn w:val="a"/>
    <w:link w:val="af2"/>
    <w:uiPriority w:val="99"/>
    <w:semiHidden/>
    <w:unhideWhenUsed/>
    <w:rsid w:val="005C42AE"/>
    <w:pPr>
      <w:spacing w:after="0" w:line="240" w:lineRule="auto"/>
    </w:pPr>
    <w:rPr>
      <w:sz w:val="20"/>
      <w:szCs w:val="20"/>
    </w:rPr>
  </w:style>
  <w:style w:type="character" w:customStyle="1" w:styleId="af2">
    <w:name w:val="Текст под линия Знак"/>
    <w:basedOn w:val="a0"/>
    <w:link w:val="af1"/>
    <w:uiPriority w:val="99"/>
    <w:semiHidden/>
    <w:rsid w:val="005C42AE"/>
    <w:rPr>
      <w:sz w:val="20"/>
      <w:szCs w:val="20"/>
    </w:rPr>
  </w:style>
  <w:style w:type="character" w:styleId="af3">
    <w:name w:val="footnote reference"/>
    <w:aliases w:val="Footnote symbol"/>
    <w:semiHidden/>
    <w:unhideWhenUsed/>
    <w:rsid w:val="005C42AE"/>
    <w:rPr>
      <w:rFonts w:cs="Times New Roman"/>
      <w:vertAlign w:val="superscript"/>
    </w:rPr>
  </w:style>
  <w:style w:type="paragraph" w:customStyle="1" w:styleId="1">
    <w:name w:val="1"/>
    <w:basedOn w:val="a"/>
    <w:link w:val="1Char"/>
    <w:qFormat/>
    <w:rsid w:val="001E5F77"/>
    <w:pPr>
      <w:numPr>
        <w:numId w:val="6"/>
      </w:numPr>
      <w:spacing w:after="0" w:line="240" w:lineRule="auto"/>
      <w:contextualSpacing/>
    </w:pPr>
    <w:rPr>
      <w:rFonts w:ascii="Arial" w:eastAsia="Times New Roman" w:hAnsi="Arial" w:cs="Arial"/>
      <w:b/>
      <w:sz w:val="24"/>
      <w:szCs w:val="24"/>
      <w:lang w:val="bg-BG"/>
    </w:rPr>
  </w:style>
  <w:style w:type="character" w:customStyle="1" w:styleId="1Char">
    <w:name w:val="1 Char"/>
    <w:basedOn w:val="a0"/>
    <w:link w:val="1"/>
    <w:rsid w:val="001E5F77"/>
    <w:rPr>
      <w:rFonts w:ascii="Arial" w:eastAsia="Times New Roman" w:hAnsi="Arial" w:cs="Arial"/>
      <w:b/>
      <w:sz w:val="24"/>
      <w:szCs w:val="24"/>
      <w:lang w:val="bg-BG"/>
    </w:rPr>
  </w:style>
  <w:style w:type="table" w:customStyle="1" w:styleId="TableNormal1">
    <w:name w:val="Table Normal1"/>
    <w:uiPriority w:val="2"/>
    <w:semiHidden/>
    <w:unhideWhenUsed/>
    <w:qFormat/>
    <w:rsid w:val="001E5F77"/>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31">
    <w:name w:val="toc 3"/>
    <w:basedOn w:val="a"/>
    <w:next w:val="a"/>
    <w:autoRedefine/>
    <w:uiPriority w:val="39"/>
    <w:unhideWhenUsed/>
    <w:rsid w:val="006505D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9.7595733225654523E-3"/>
          <c:y val="2.0278833967046894E-2"/>
        </c:manualLayout>
      </c:layout>
      <c:overlay val="0"/>
      <c:spPr>
        <a:noFill/>
        <a:ln>
          <a:noFill/>
        </a:ln>
        <a:effectLst/>
      </c:spPr>
      <c:txPr>
        <a:bodyPr rot="0" spcFirstLastPara="1" vertOverflow="ellipsis" vert="horz" wrap="square" anchor="ctr" anchorCtr="1"/>
        <a:lstStyle/>
        <a:p>
          <a:pPr>
            <a:defRPr sz="132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3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475802874436725E-2"/>
          <c:y val="8.9002125684859767E-2"/>
          <c:w val="0.94852412679184328"/>
          <c:h val="0.88082951608235283"/>
        </c:manualLayout>
      </c:layout>
      <c:pie3DChart>
        <c:varyColors val="1"/>
        <c:ser>
          <c:idx val="0"/>
          <c:order val="0"/>
          <c:tx>
            <c:strRef>
              <c:f>Лист1!$A$3</c:f>
              <c:strCache>
                <c:ptCount val="1"/>
                <c:pt idx="0">
                  <c:v>Вид собственост</c:v>
                </c:pt>
              </c:strCache>
            </c:strRef>
          </c:tx>
          <c:dPt>
            <c:idx val="0"/>
            <c:bubble3D val="0"/>
            <c:explosion val="3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B44-4049-A575-2CC5A1AECE8F}"/>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B44-4049-A575-2CC5A1AECE8F}"/>
              </c:ext>
            </c:extLst>
          </c:dPt>
          <c:dPt>
            <c:idx val="2"/>
            <c:bubble3D val="0"/>
            <c:explosion val="15"/>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B44-4049-A575-2CC5A1AECE8F}"/>
              </c:ext>
            </c:extLst>
          </c:dPt>
          <c:dPt>
            <c:idx val="3"/>
            <c:bubble3D val="0"/>
            <c:explosion val="28"/>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B44-4049-A575-2CC5A1AECE8F}"/>
              </c:ext>
            </c:extLst>
          </c:dPt>
          <c:dPt>
            <c:idx val="4"/>
            <c:bubble3D val="0"/>
            <c:explosion val="28"/>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B44-4049-A575-2CC5A1AECE8F}"/>
              </c:ext>
            </c:extLst>
          </c:dPt>
          <c:dLbls>
            <c:dLbl>
              <c:idx val="0"/>
              <c:layout>
                <c:manualLayout>
                  <c:x val="-0.13144988311804504"/>
                  <c:y val="-4.4737121535022364E-2"/>
                </c:manualLayout>
              </c:layout>
              <c:spPr>
                <a:noFill/>
                <a:ln>
                  <a:noFill/>
                </a:ln>
                <a:effectLst/>
              </c:spPr>
              <c:txPr>
                <a:bodyPr rot="0" spcFirstLastPara="1" vertOverflow="ellipsis" vert="horz" wrap="square" anchor="ctr" anchorCtr="1"/>
                <a:lstStyle/>
                <a:p>
                  <a:pPr>
                    <a:defRPr sz="11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4699600787141157"/>
                      <c:h val="7.1545116689473637E-2"/>
                    </c:manualLayout>
                  </c15:layout>
                </c:ext>
                <c:ext xmlns:c16="http://schemas.microsoft.com/office/drawing/2014/chart" uri="{C3380CC4-5D6E-409C-BE32-E72D297353CC}">
                  <c16:uniqueId val="{00000001-0B44-4049-A575-2CC5A1AECE8F}"/>
                </c:ext>
              </c:extLst>
            </c:dLbl>
            <c:dLbl>
              <c:idx val="1"/>
              <c:layout>
                <c:manualLayout>
                  <c:x val="-0.10953728305008011"/>
                  <c:y val="-9.2400092400093199E-4"/>
                </c:manualLayout>
              </c:layout>
              <c:spPr>
                <a:noFill/>
                <a:ln>
                  <a:noFill/>
                </a:ln>
                <a:effectLst/>
              </c:spPr>
              <c:txPr>
                <a:bodyPr rot="0" spcFirstLastPara="1" vertOverflow="ellipsis" vert="horz" wrap="square" anchor="ctr" anchorCtr="1"/>
                <a:lstStyle/>
                <a:p>
                  <a:pPr>
                    <a:defRPr sz="11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7397208548137744"/>
                      <c:h val="9.3618383172188943E-2"/>
                    </c:manualLayout>
                  </c15:layout>
                </c:ext>
                <c:ext xmlns:c16="http://schemas.microsoft.com/office/drawing/2014/chart" uri="{C3380CC4-5D6E-409C-BE32-E72D297353CC}">
                  <c16:uniqueId val="{00000003-0B44-4049-A575-2CC5A1AECE8F}"/>
                </c:ext>
              </c:extLst>
            </c:dLbl>
            <c:dLbl>
              <c:idx val="2"/>
              <c:layout>
                <c:manualLayout>
                  <c:x val="-0.10198298766731545"/>
                  <c:y val="-5.1051051051051094E-2"/>
                </c:manualLayout>
              </c:layout>
              <c:spPr>
                <a:noFill/>
                <a:ln>
                  <a:noFill/>
                </a:ln>
                <a:effectLst/>
              </c:spPr>
              <c:txPr>
                <a:bodyPr rot="0" spcFirstLastPara="1" vertOverflow="ellipsis" vert="horz" wrap="square" anchor="ctr" anchorCtr="1"/>
                <a:lstStyle/>
                <a:p>
                  <a:pPr>
                    <a:defRPr sz="11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44-4049-A575-2CC5A1AECE8F}"/>
                </c:ext>
              </c:extLst>
            </c:dLbl>
            <c:dLbl>
              <c:idx val="3"/>
              <c:layout>
                <c:manualLayout>
                  <c:x val="1.6997164611219341E-2"/>
                  <c:y val="-9.0090090090091026E-3"/>
                </c:manualLayout>
              </c:layout>
              <c:spPr>
                <a:noFill/>
                <a:ln>
                  <a:noFill/>
                </a:ln>
                <a:effectLst/>
              </c:spPr>
              <c:txPr>
                <a:bodyPr rot="0" spcFirstLastPara="1" vertOverflow="ellipsis" vert="horz" wrap="square" anchor="ctr" anchorCtr="1"/>
                <a:lstStyle/>
                <a:p>
                  <a:pPr>
                    <a:defRPr sz="11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44-4049-A575-2CC5A1AECE8F}"/>
                </c:ext>
              </c:extLst>
            </c:dLbl>
            <c:dLbl>
              <c:idx val="4"/>
              <c:layout>
                <c:manualLayout>
                  <c:x val="5.1935816325035557E-2"/>
                  <c:y val="0.11177846532177238"/>
                </c:manualLayout>
              </c:layout>
              <c:spPr>
                <a:noFill/>
                <a:ln>
                  <a:noFill/>
                </a:ln>
                <a:effectLst/>
              </c:spPr>
              <c:txPr>
                <a:bodyPr rot="0" spcFirstLastPara="1" vertOverflow="ellipsis" vert="horz" wrap="square" anchor="ctr" anchorCtr="1"/>
                <a:lstStyle/>
                <a:p>
                  <a:pPr>
                    <a:defRPr sz="11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2382447481243761"/>
                      <c:h val="0.14127464836126252"/>
                    </c:manualLayout>
                  </c15:layout>
                </c:ext>
                <c:ext xmlns:c16="http://schemas.microsoft.com/office/drawing/2014/chart" uri="{C3380CC4-5D6E-409C-BE32-E72D297353CC}">
                  <c16:uniqueId val="{00000009-0B44-4049-A575-2CC5A1AECE8F}"/>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Лист1!$B$1:$F$2</c:f>
              <c:multiLvlStrCache>
                <c:ptCount val="5"/>
                <c:lvl>
                  <c:pt idx="2">
                    <c:v>лица</c:v>
                  </c:pt>
                  <c:pt idx="3">
                    <c:v>лица</c:v>
                  </c:pt>
                  <c:pt idx="4">
                    <c:v>организации</c:v>
                  </c:pt>
                </c:lvl>
                <c:lvl>
                  <c:pt idx="0">
                    <c:v>Държавна</c:v>
                  </c:pt>
                  <c:pt idx="1">
                    <c:v>Общинска</c:v>
                  </c:pt>
                  <c:pt idx="2">
                    <c:v>Физ.</c:v>
                  </c:pt>
                  <c:pt idx="3">
                    <c:v>Юридически</c:v>
                  </c:pt>
                  <c:pt idx="4">
                    <c:v>Религиозни</c:v>
                  </c:pt>
                </c:lvl>
              </c:multiLvlStrCache>
            </c:multiLvlStrRef>
          </c:cat>
          <c:val>
            <c:numRef>
              <c:f>Лист1!$B$3:$F$3</c:f>
              <c:numCache>
                <c:formatCode>General</c:formatCode>
                <c:ptCount val="5"/>
                <c:pt idx="0">
                  <c:v>84.8</c:v>
                </c:pt>
                <c:pt idx="1">
                  <c:v>8.7000000000000011</c:v>
                </c:pt>
                <c:pt idx="2">
                  <c:v>4.7</c:v>
                </c:pt>
                <c:pt idx="3">
                  <c:v>1.7000000000000015</c:v>
                </c:pt>
                <c:pt idx="4">
                  <c:v>0.1</c:v>
                </c:pt>
              </c:numCache>
            </c:numRef>
          </c:val>
          <c:extLst>
            <c:ext xmlns:c16="http://schemas.microsoft.com/office/drawing/2014/chart" uri="{C3380CC4-5D6E-409C-BE32-E72D297353CC}">
              <c16:uniqueId val="{0000000A-0B44-4049-A575-2CC5A1AECE8F}"/>
            </c:ext>
          </c:extLst>
        </c:ser>
        <c:ser>
          <c:idx val="1"/>
          <c:order val="1"/>
          <c:tx>
            <c:strRef>
              <c:f>Лист1!$A$4</c:f>
              <c:strCache>
                <c:ptCount val="1"/>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0B44-4049-A575-2CC5A1AECE8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0B44-4049-A575-2CC5A1AECE8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0B44-4049-A575-2CC5A1AECE8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0B44-4049-A575-2CC5A1AECE8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0B44-4049-A575-2CC5A1AECE8F}"/>
              </c:ext>
            </c:extLst>
          </c:dPt>
          <c:dLbls>
            <c:dLbl>
              <c:idx val="0"/>
              <c:spPr>
                <a:noFill/>
                <a:ln>
                  <a:noFill/>
                </a:ln>
                <a:effectLst/>
              </c:spPr>
              <c:txPr>
                <a:bodyPr rot="0" spcFirstLastPara="1" vertOverflow="ellipsis" vert="horz" wrap="square" anchor="ctr" anchorCtr="1"/>
                <a:lstStyle/>
                <a:p>
                  <a:pPr>
                    <a:defRPr sz="11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C-0B44-4049-A575-2CC5A1AECE8F}"/>
                </c:ext>
              </c:extLst>
            </c:dLbl>
            <c:dLbl>
              <c:idx val="1"/>
              <c:spPr>
                <a:noFill/>
                <a:ln>
                  <a:noFill/>
                </a:ln>
                <a:effectLst/>
              </c:spPr>
              <c:txPr>
                <a:bodyPr rot="0" spcFirstLastPara="1" vertOverflow="ellipsis" vert="horz" wrap="square" anchor="ctr" anchorCtr="1"/>
                <a:lstStyle/>
                <a:p>
                  <a:pPr>
                    <a:defRPr sz="11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E-0B44-4049-A575-2CC5A1AECE8F}"/>
                </c:ext>
              </c:extLst>
            </c:dLbl>
            <c:dLbl>
              <c:idx val="2"/>
              <c:spPr>
                <a:noFill/>
                <a:ln>
                  <a:noFill/>
                </a:ln>
                <a:effectLst/>
              </c:spPr>
              <c:txPr>
                <a:bodyPr rot="0" spcFirstLastPara="1" vertOverflow="ellipsis" vert="horz" wrap="square" anchor="ctr" anchorCtr="1"/>
                <a:lstStyle/>
                <a:p>
                  <a:pPr>
                    <a:defRPr sz="11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0-0B44-4049-A575-2CC5A1AECE8F}"/>
                </c:ext>
              </c:extLst>
            </c:dLbl>
            <c:dLbl>
              <c:idx val="3"/>
              <c:spPr>
                <a:noFill/>
                <a:ln>
                  <a:noFill/>
                </a:ln>
                <a:effectLst/>
              </c:spPr>
              <c:txPr>
                <a:bodyPr rot="0" spcFirstLastPara="1" vertOverflow="ellipsis" vert="horz" wrap="square" anchor="ctr" anchorCtr="1"/>
                <a:lstStyle/>
                <a:p>
                  <a:pPr>
                    <a:defRPr sz="11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2-0B44-4049-A575-2CC5A1AECE8F}"/>
                </c:ext>
              </c:extLst>
            </c:dLbl>
            <c:dLbl>
              <c:idx val="4"/>
              <c:spPr>
                <a:noFill/>
                <a:ln>
                  <a:noFill/>
                </a:ln>
                <a:effectLst/>
              </c:spPr>
              <c:txPr>
                <a:bodyPr rot="0" spcFirstLastPara="1" vertOverflow="ellipsis" vert="horz" wrap="square" anchor="ctr" anchorCtr="1"/>
                <a:lstStyle/>
                <a:p>
                  <a:pPr>
                    <a:defRPr sz="11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14-0B44-4049-A575-2CC5A1AECE8F}"/>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Лист1!$B$1:$F$2</c:f>
              <c:multiLvlStrCache>
                <c:ptCount val="5"/>
                <c:lvl>
                  <c:pt idx="2">
                    <c:v>лица</c:v>
                  </c:pt>
                  <c:pt idx="3">
                    <c:v>лица</c:v>
                  </c:pt>
                  <c:pt idx="4">
                    <c:v>организации</c:v>
                  </c:pt>
                </c:lvl>
                <c:lvl>
                  <c:pt idx="0">
                    <c:v>Държавна</c:v>
                  </c:pt>
                  <c:pt idx="1">
                    <c:v>Общинска</c:v>
                  </c:pt>
                  <c:pt idx="2">
                    <c:v>Физ.</c:v>
                  </c:pt>
                  <c:pt idx="3">
                    <c:v>Юридически</c:v>
                  </c:pt>
                  <c:pt idx="4">
                    <c:v>Религиозни</c:v>
                  </c:pt>
                </c:lvl>
              </c:multiLvlStrCache>
            </c:multiLvlStrRef>
          </c:cat>
          <c:val>
            <c:numRef>
              <c:f>Лист1!$B$4:$F$4</c:f>
              <c:numCache>
                <c:formatCode>General</c:formatCode>
                <c:ptCount val="5"/>
              </c:numCache>
            </c:numRef>
          </c:val>
          <c:extLst>
            <c:ext xmlns:c16="http://schemas.microsoft.com/office/drawing/2014/chart" uri="{C3380CC4-5D6E-409C-BE32-E72D297353CC}">
              <c16:uniqueId val="{00000015-0B44-4049-A575-2CC5A1AECE8F}"/>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Температура!$A$2</c:f>
              <c:strCache>
                <c:ptCount val="1"/>
                <c:pt idx="0">
                  <c:v>t°C на въздуха</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1"/>
                </a:solidFill>
              </a:ln>
              <a:effectLst/>
            </c:spPr>
            <c:trendlineType val="poly"/>
            <c:order val="2"/>
            <c:dispRSqr val="1"/>
            <c:dispEq val="1"/>
            <c:trendlineLbl>
              <c:layout>
                <c:manualLayout>
                  <c:x val="-5.7444464795224373E-2"/>
                  <c:y val="-3.281924185706320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trendlineLbl>
          </c:trendline>
          <c:cat>
            <c:strRef>
              <c:f>Температура!$B$1:$M$1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Температура!$B$2:$M$2</c:f>
              <c:numCache>
                <c:formatCode>General</c:formatCode>
                <c:ptCount val="12"/>
                <c:pt idx="0">
                  <c:v>-1.7</c:v>
                </c:pt>
                <c:pt idx="1">
                  <c:v>0.8</c:v>
                </c:pt>
                <c:pt idx="2">
                  <c:v>5.3</c:v>
                </c:pt>
                <c:pt idx="3">
                  <c:v>11.8</c:v>
                </c:pt>
                <c:pt idx="4">
                  <c:v>17.3</c:v>
                </c:pt>
                <c:pt idx="5">
                  <c:v>28</c:v>
                </c:pt>
                <c:pt idx="6">
                  <c:v>23</c:v>
                </c:pt>
                <c:pt idx="7">
                  <c:v>22.4</c:v>
                </c:pt>
                <c:pt idx="8">
                  <c:v>18.2</c:v>
                </c:pt>
                <c:pt idx="9">
                  <c:v>12.6</c:v>
                </c:pt>
                <c:pt idx="10">
                  <c:v>7.1</c:v>
                </c:pt>
                <c:pt idx="11">
                  <c:v>1.5</c:v>
                </c:pt>
              </c:numCache>
            </c:numRef>
          </c:val>
          <c:smooth val="0"/>
          <c:extLst>
            <c:ext xmlns:c16="http://schemas.microsoft.com/office/drawing/2014/chart" uri="{C3380CC4-5D6E-409C-BE32-E72D297353CC}">
              <c16:uniqueId val="{00000000-DAD5-4395-B11B-7C4A95F11574}"/>
            </c:ext>
          </c:extLst>
        </c:ser>
        <c:ser>
          <c:idx val="1"/>
          <c:order val="1"/>
          <c:tx>
            <c:strRef>
              <c:f>Температура!$A$3</c:f>
              <c:strCache>
                <c:ptCount val="1"/>
                <c:pt idx="0">
                  <c:v>t°C на почвата на дълбочи на 10 см</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2"/>
                </a:solidFill>
              </a:ln>
              <a:effectLst/>
            </c:spPr>
            <c:trendlineType val="poly"/>
            <c:order val="2"/>
            <c:dispRSqr val="1"/>
            <c:dispEq val="1"/>
            <c:trendlineLbl>
              <c:layout>
                <c:manualLayout>
                  <c:x val="6.9465467957504606E-2"/>
                  <c:y val="-0.2859993976162815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trendlineLbl>
          </c:trendline>
          <c:cat>
            <c:strRef>
              <c:f>Температура!$B$1:$M$1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Температура!$B$3:$M$3</c:f>
              <c:numCache>
                <c:formatCode>General</c:formatCode>
                <c:ptCount val="12"/>
                <c:pt idx="0">
                  <c:v>0.9</c:v>
                </c:pt>
                <c:pt idx="1">
                  <c:v>1.2</c:v>
                </c:pt>
                <c:pt idx="2">
                  <c:v>3.8</c:v>
                </c:pt>
                <c:pt idx="3">
                  <c:v>9.2000000000000011</c:v>
                </c:pt>
                <c:pt idx="4">
                  <c:v>16.5</c:v>
                </c:pt>
                <c:pt idx="5">
                  <c:v>25</c:v>
                </c:pt>
                <c:pt idx="6">
                  <c:v>24</c:v>
                </c:pt>
                <c:pt idx="7">
                  <c:v>23.5</c:v>
                </c:pt>
                <c:pt idx="8">
                  <c:v>19.8</c:v>
                </c:pt>
                <c:pt idx="9">
                  <c:v>12.8</c:v>
                </c:pt>
                <c:pt idx="10">
                  <c:v>6.9</c:v>
                </c:pt>
                <c:pt idx="11">
                  <c:v>2.8</c:v>
                </c:pt>
              </c:numCache>
            </c:numRef>
          </c:val>
          <c:smooth val="0"/>
          <c:extLst>
            <c:ext xmlns:c16="http://schemas.microsoft.com/office/drawing/2014/chart" uri="{C3380CC4-5D6E-409C-BE32-E72D297353CC}">
              <c16:uniqueId val="{00000001-DAD5-4395-B11B-7C4A95F11574}"/>
            </c:ext>
          </c:extLst>
        </c:ser>
        <c:dLbls>
          <c:showLegendKey val="0"/>
          <c:showVal val="1"/>
          <c:showCatName val="0"/>
          <c:showSerName val="0"/>
          <c:showPercent val="0"/>
          <c:showBubbleSize val="0"/>
        </c:dLbls>
        <c:marker val="1"/>
        <c:smooth val="0"/>
        <c:axId val="100996224"/>
        <c:axId val="100997760"/>
      </c:lineChart>
      <c:catAx>
        <c:axId val="1009962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0997760"/>
        <c:crosses val="autoZero"/>
        <c:auto val="1"/>
        <c:lblAlgn val="ctr"/>
        <c:lblOffset val="100"/>
        <c:noMultiLvlLbl val="0"/>
      </c:catAx>
      <c:valAx>
        <c:axId val="1009977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00996224"/>
        <c:crosses val="autoZero"/>
        <c:crossBetween val="between"/>
      </c:valAx>
      <c:spPr>
        <a:noFill/>
        <a:ln>
          <a:noFill/>
        </a:ln>
        <a:effectLst/>
      </c:spPr>
    </c:plotArea>
    <c:legend>
      <c:legendPos val="b"/>
      <c:layout>
        <c:manualLayout>
          <c:xMode val="edge"/>
          <c:yMode val="edge"/>
          <c:x val="0.25259054336871767"/>
          <c:y val="0.77411616489115032"/>
          <c:w val="0.59403602551003731"/>
          <c:h val="0.2070603056970826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cked"/>
        <c:varyColors val="0"/>
        <c:ser>
          <c:idx val="0"/>
          <c:order val="0"/>
          <c:tx>
            <c:strRef>
              <c:f>'Слънчево греене'!$A$2</c:f>
              <c:strCache>
                <c:ptCount val="1"/>
                <c:pt idx="0">
                  <c:v>Слънчево  греене в часове</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'Слънчево греене'!$B$1:$M$1</c:f>
              <c:strCache>
                <c:ptCount val="12"/>
                <c:pt idx="0">
                  <c:v>І</c:v>
                </c:pt>
                <c:pt idx="1">
                  <c:v>ІІ</c:v>
                </c:pt>
                <c:pt idx="2">
                  <c:v>ІІІ</c:v>
                </c:pt>
                <c:pt idx="3">
                  <c:v>ІV</c:v>
                </c:pt>
                <c:pt idx="4">
                  <c:v>V</c:v>
                </c:pt>
                <c:pt idx="5">
                  <c:v>VІ</c:v>
                </c:pt>
                <c:pt idx="6">
                  <c:v>VІІ</c:v>
                </c:pt>
                <c:pt idx="7">
                  <c:v>VІІІ</c:v>
                </c:pt>
                <c:pt idx="8">
                  <c:v>ІХ</c:v>
                </c:pt>
                <c:pt idx="9">
                  <c:v>Х</c:v>
                </c:pt>
                <c:pt idx="10">
                  <c:v>ХІ</c:v>
                </c:pt>
                <c:pt idx="11">
                  <c:v>ХІІ</c:v>
                </c:pt>
              </c:strCache>
            </c:strRef>
          </c:cat>
          <c:val>
            <c:numRef>
              <c:f>'Слънчево греене'!$B$2:$M$2</c:f>
              <c:numCache>
                <c:formatCode>0.0</c:formatCode>
                <c:ptCount val="12"/>
                <c:pt idx="0">
                  <c:v>78</c:v>
                </c:pt>
                <c:pt idx="1">
                  <c:v>89</c:v>
                </c:pt>
                <c:pt idx="2">
                  <c:v>126</c:v>
                </c:pt>
                <c:pt idx="3">
                  <c:v>172</c:v>
                </c:pt>
                <c:pt idx="4">
                  <c:v>241</c:v>
                </c:pt>
                <c:pt idx="5">
                  <c:v>283</c:v>
                </c:pt>
                <c:pt idx="6">
                  <c:v>324</c:v>
                </c:pt>
                <c:pt idx="7">
                  <c:v>308</c:v>
                </c:pt>
                <c:pt idx="8">
                  <c:v>231</c:v>
                </c:pt>
                <c:pt idx="9">
                  <c:v>177</c:v>
                </c:pt>
                <c:pt idx="10">
                  <c:v>92</c:v>
                </c:pt>
                <c:pt idx="11">
                  <c:v>68</c:v>
                </c:pt>
              </c:numCache>
            </c:numRef>
          </c:val>
          <c:smooth val="0"/>
          <c:extLst>
            <c:ext xmlns:c16="http://schemas.microsoft.com/office/drawing/2014/chart" uri="{C3380CC4-5D6E-409C-BE32-E72D297353CC}">
              <c16:uniqueId val="{00000000-DD7A-4BB3-9AD4-021267122DE8}"/>
            </c:ext>
          </c:extLst>
        </c:ser>
        <c:dLbls>
          <c:showLegendKey val="0"/>
          <c:showVal val="1"/>
          <c:showCatName val="0"/>
          <c:showSerName val="0"/>
          <c:showPercent val="0"/>
          <c:showBubbleSize val="0"/>
        </c:dLbls>
        <c:marker val="1"/>
        <c:smooth val="0"/>
        <c:axId val="103049856"/>
        <c:axId val="103707008"/>
      </c:lineChart>
      <c:catAx>
        <c:axId val="1030498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1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3707008"/>
        <c:crosses val="autoZero"/>
        <c:auto val="1"/>
        <c:lblAlgn val="ctr"/>
        <c:lblOffset val="100"/>
        <c:noMultiLvlLbl val="0"/>
      </c:catAx>
      <c:valAx>
        <c:axId val="1037070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one"/>
        <c:crossAx val="103049856"/>
        <c:crosses val="autoZero"/>
        <c:crossBetween val="between"/>
      </c:valAx>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ватър!$A$2</c:f>
              <c:strCache>
                <c:ptCount val="1"/>
                <c:pt idx="0">
                  <c:v>Вятър</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1"/>
                </a:solidFill>
              </a:ln>
              <a:effectLst/>
            </c:spPr>
            <c:trendlineType val="poly"/>
            <c:order val="2"/>
            <c:dispRSqr val="1"/>
            <c:dispEq val="1"/>
            <c:trendlineLbl>
              <c:layout>
                <c:manualLayout>
                  <c:x val="5.9512029746282114E-2"/>
                  <c:y val="-0.142451274235881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trendlineLbl>
          </c:trendline>
          <c:cat>
            <c:strRef>
              <c:f>ватър!$B$1:$M$1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ватър!$B$2:$M$2</c:f>
              <c:numCache>
                <c:formatCode>General</c:formatCode>
                <c:ptCount val="12"/>
                <c:pt idx="0">
                  <c:v>3</c:v>
                </c:pt>
                <c:pt idx="1">
                  <c:v>3.3</c:v>
                </c:pt>
                <c:pt idx="2">
                  <c:v>3.4</c:v>
                </c:pt>
                <c:pt idx="3">
                  <c:v>3.2</c:v>
                </c:pt>
                <c:pt idx="4">
                  <c:v>3</c:v>
                </c:pt>
                <c:pt idx="5">
                  <c:v>2.6</c:v>
                </c:pt>
                <c:pt idx="6">
                  <c:v>2</c:v>
                </c:pt>
                <c:pt idx="7">
                  <c:v>2.1</c:v>
                </c:pt>
                <c:pt idx="8">
                  <c:v>2.2000000000000002</c:v>
                </c:pt>
                <c:pt idx="9">
                  <c:v>2.2000000000000002</c:v>
                </c:pt>
                <c:pt idx="10">
                  <c:v>2.7</c:v>
                </c:pt>
                <c:pt idx="11">
                  <c:v>2.7</c:v>
                </c:pt>
              </c:numCache>
            </c:numRef>
          </c:val>
          <c:smooth val="0"/>
          <c:extLst>
            <c:ext xmlns:c16="http://schemas.microsoft.com/office/drawing/2014/chart" uri="{C3380CC4-5D6E-409C-BE32-E72D297353CC}">
              <c16:uniqueId val="{00000000-A279-4D61-B31E-C0383EF49FB3}"/>
            </c:ext>
          </c:extLst>
        </c:ser>
        <c:dLbls>
          <c:showLegendKey val="0"/>
          <c:showVal val="1"/>
          <c:showCatName val="0"/>
          <c:showSerName val="0"/>
          <c:showPercent val="0"/>
          <c:showBubbleSize val="0"/>
        </c:dLbls>
        <c:marker val="1"/>
        <c:smooth val="0"/>
        <c:axId val="108749952"/>
        <c:axId val="108751488"/>
      </c:lineChart>
      <c:catAx>
        <c:axId val="1087499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8751488"/>
        <c:crosses val="autoZero"/>
        <c:auto val="1"/>
        <c:lblAlgn val="ctr"/>
        <c:lblOffset val="100"/>
        <c:noMultiLvlLbl val="0"/>
      </c:catAx>
      <c:valAx>
        <c:axId val="1087514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087499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598105374927229E-2"/>
          <c:y val="7.2478455342480153E-2"/>
          <c:w val="0.93577719925545455"/>
          <c:h val="0.83060828637481177"/>
        </c:manualLayout>
      </c:layout>
      <c:barChart>
        <c:barDir val="col"/>
        <c:grouping val="clustered"/>
        <c:varyColors val="0"/>
        <c:ser>
          <c:idx val="0"/>
          <c:order val="0"/>
          <c:tx>
            <c:strRef>
              <c:f>'[ЗЕВИ ФЕЦ 2021 Excel Worksheet.xlsx]Sheet1'!$B$8</c:f>
              <c:strCache>
                <c:ptCount val="1"/>
                <c:pt idx="0">
                  <c:v>Брой на ФтЕЦ</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glow rad="228600">
                <a:schemeClr val="accent6">
                  <a:satMod val="175000"/>
                  <a:alpha val="40000"/>
                </a:schemeClr>
              </a:glow>
            </a:effectLst>
            <a:scene3d>
              <a:camera prst="orthographicFront"/>
              <a:lightRig rig="threePt" dir="t"/>
            </a:scene3d>
            <a:sp3d>
              <a:bevelT prst="angle"/>
              <a:bevelB w="114300" prst="artDeco"/>
            </a:sp3d>
          </c:spPr>
          <c:invertIfNegative val="0"/>
          <c:dLbls>
            <c:delete val="1"/>
          </c:dLbls>
          <c:trendline>
            <c:spPr>
              <a:ln w="19050" cap="rnd">
                <a:solidFill>
                  <a:schemeClr val="accent6"/>
                </a:solidFill>
                <a:prstDash val="sysDash"/>
              </a:ln>
              <a:effectLst/>
            </c:spPr>
            <c:trendlineType val="linear"/>
            <c:forward val="2"/>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trendlineLbl>
          </c:trendline>
          <c:cat>
            <c:strRef>
              <c:f>'[ЗЕВИ ФЕЦ 2021 Excel Worksheet.xlsx]Sheet1'!$A$9:$A$12</c:f>
              <c:strCache>
                <c:ptCount val="4"/>
                <c:pt idx="0">
                  <c:v>2010 г.</c:v>
                </c:pt>
                <c:pt idx="1">
                  <c:v>2013 г. </c:v>
                </c:pt>
                <c:pt idx="2">
                  <c:v>2020 г. </c:v>
                </c:pt>
                <c:pt idx="3">
                  <c:v>2021 г. </c:v>
                </c:pt>
              </c:strCache>
            </c:strRef>
          </c:cat>
          <c:val>
            <c:numRef>
              <c:f>'[ЗЕВИ ФЕЦ 2021 Excel Worksheet.xlsx]Sheet1'!$B$9:$B$12</c:f>
              <c:numCache>
                <c:formatCode>General</c:formatCode>
                <c:ptCount val="4"/>
                <c:pt idx="0">
                  <c:v>0</c:v>
                </c:pt>
                <c:pt idx="1">
                  <c:v>1</c:v>
                </c:pt>
                <c:pt idx="2">
                  <c:v>6</c:v>
                </c:pt>
                <c:pt idx="3">
                  <c:v>11</c:v>
                </c:pt>
              </c:numCache>
            </c:numRef>
          </c:val>
          <c:extLst>
            <c:ext xmlns:c16="http://schemas.microsoft.com/office/drawing/2014/chart" uri="{C3380CC4-5D6E-409C-BE32-E72D297353CC}">
              <c16:uniqueId val="{00000000-F5E6-4F23-ACCC-37F6EF70B87E}"/>
            </c:ext>
          </c:extLst>
        </c:ser>
        <c:ser>
          <c:idx val="1"/>
          <c:order val="1"/>
          <c:tx>
            <c:strRef>
              <c:f>'[ЗЕВИ ФЕЦ 2021 Excel Worksheet.xlsx]Sheet1'!$C$8</c:f>
              <c:strCache>
                <c:ptCount val="1"/>
                <c:pt idx="0">
                  <c:v>Спестени въглеродни емисии, т/г</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glow rad="228600">
                <a:schemeClr val="accent5">
                  <a:satMod val="175000"/>
                  <a:alpha val="40000"/>
                </a:schemeClr>
              </a:glow>
            </a:effectLst>
            <a:scene3d>
              <a:camera prst="orthographicFront"/>
              <a:lightRig rig="threePt" dir="t"/>
            </a:scene3d>
            <a:sp3d>
              <a:bevelT w="165100" prst="coolSlant"/>
              <a:bevelB prst="angle"/>
            </a:sp3d>
          </c:spPr>
          <c:invertIfNegative val="0"/>
          <c:dLbls>
            <c:delete val="1"/>
          </c:dLbls>
          <c:trendline>
            <c:spPr>
              <a:ln w="19050" cap="rnd">
                <a:solidFill>
                  <a:schemeClr val="accent5"/>
                </a:solidFill>
                <a:prstDash val="sysDash"/>
              </a:ln>
              <a:effectLst/>
            </c:spPr>
            <c:trendlineType val="linear"/>
            <c:forward val="2"/>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trendlineLbl>
          </c:trendline>
          <c:cat>
            <c:strRef>
              <c:f>'[ЗЕВИ ФЕЦ 2021 Excel Worksheet.xlsx]Sheet1'!$A$9:$A$12</c:f>
              <c:strCache>
                <c:ptCount val="4"/>
                <c:pt idx="0">
                  <c:v>2010 г.</c:v>
                </c:pt>
                <c:pt idx="1">
                  <c:v>2013 г. </c:v>
                </c:pt>
                <c:pt idx="2">
                  <c:v>2020 г. </c:v>
                </c:pt>
                <c:pt idx="3">
                  <c:v>2021 г. </c:v>
                </c:pt>
              </c:strCache>
            </c:strRef>
          </c:cat>
          <c:val>
            <c:numRef>
              <c:f>'[ЗЕВИ ФЕЦ 2021 Excel Worksheet.xlsx]Sheet1'!$C$9:$C$12</c:f>
              <c:numCache>
                <c:formatCode>General</c:formatCode>
                <c:ptCount val="4"/>
                <c:pt idx="0">
                  <c:v>0</c:v>
                </c:pt>
                <c:pt idx="1">
                  <c:v>75.814800000000005</c:v>
                </c:pt>
                <c:pt idx="2">
                  <c:v>116.76</c:v>
                </c:pt>
                <c:pt idx="3">
                  <c:v>224.77</c:v>
                </c:pt>
              </c:numCache>
            </c:numRef>
          </c:val>
          <c:extLst>
            <c:ext xmlns:c16="http://schemas.microsoft.com/office/drawing/2014/chart" uri="{C3380CC4-5D6E-409C-BE32-E72D297353CC}">
              <c16:uniqueId val="{00000001-F5E6-4F23-ACCC-37F6EF70B87E}"/>
            </c:ext>
          </c:extLst>
        </c:ser>
        <c:ser>
          <c:idx val="2"/>
          <c:order val="2"/>
          <c:tx>
            <c:strRef>
              <c:f>'[ЗЕВИ ФЕЦ 2021 Excel Worksheet.xlsx]Sheet1'!$D$8</c:f>
              <c:strCache>
                <c:ptCount val="1"/>
                <c:pt idx="0">
                  <c:v>Произведена ел.енергия , Мвч/г</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glow rad="228600">
                <a:schemeClr val="accent4">
                  <a:satMod val="175000"/>
                  <a:alpha val="40000"/>
                </a:schemeClr>
              </a:glow>
            </a:effectLst>
            <a:scene3d>
              <a:camera prst="orthographicFront"/>
              <a:lightRig rig="threePt" dir="t"/>
            </a:scene3d>
            <a:sp3d>
              <a:bevelT w="114300" prst="artDeco"/>
            </a:sp3d>
          </c:spPr>
          <c:invertIfNegative val="0"/>
          <c:dLbls>
            <c:delete val="1"/>
          </c:dLbls>
          <c:trendline>
            <c:spPr>
              <a:ln w="19050" cap="rnd">
                <a:solidFill>
                  <a:schemeClr val="accent4"/>
                </a:solidFill>
                <a:prstDash val="sysDash"/>
              </a:ln>
              <a:effectLst/>
            </c:spPr>
            <c:trendlineType val="linear"/>
            <c:forward val="2"/>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trendlineLbl>
          </c:trendline>
          <c:cat>
            <c:strRef>
              <c:f>'[ЗЕВИ ФЕЦ 2021 Excel Worksheet.xlsx]Sheet1'!$A$9:$A$12</c:f>
              <c:strCache>
                <c:ptCount val="4"/>
                <c:pt idx="0">
                  <c:v>2010 г.</c:v>
                </c:pt>
                <c:pt idx="1">
                  <c:v>2013 г. </c:v>
                </c:pt>
                <c:pt idx="2">
                  <c:v>2020 г. </c:v>
                </c:pt>
                <c:pt idx="3">
                  <c:v>2021 г. </c:v>
                </c:pt>
              </c:strCache>
            </c:strRef>
          </c:cat>
          <c:val>
            <c:numRef>
              <c:f>'[ЗЕВИ ФЕЦ 2021 Excel Worksheet.xlsx]Sheet1'!$D$9:$D$12</c:f>
              <c:numCache>
                <c:formatCode>General</c:formatCode>
                <c:ptCount val="4"/>
                <c:pt idx="0">
                  <c:v>0</c:v>
                </c:pt>
                <c:pt idx="1">
                  <c:v>92.57</c:v>
                </c:pt>
                <c:pt idx="2">
                  <c:v>142.57</c:v>
                </c:pt>
                <c:pt idx="3">
                  <c:v>274.44</c:v>
                </c:pt>
              </c:numCache>
            </c:numRef>
          </c:val>
          <c:extLst>
            <c:ext xmlns:c16="http://schemas.microsoft.com/office/drawing/2014/chart" uri="{C3380CC4-5D6E-409C-BE32-E72D297353CC}">
              <c16:uniqueId val="{00000002-F5E6-4F23-ACCC-37F6EF70B87E}"/>
            </c:ext>
          </c:extLst>
        </c:ser>
        <c:dLbls>
          <c:showLegendKey val="0"/>
          <c:showVal val="1"/>
          <c:showCatName val="0"/>
          <c:showSerName val="0"/>
          <c:showPercent val="0"/>
          <c:showBubbleSize val="0"/>
        </c:dLbls>
        <c:gapWidth val="100"/>
        <c:overlap val="-24"/>
        <c:axId val="84863616"/>
        <c:axId val="84291968"/>
      </c:barChart>
      <c:catAx>
        <c:axId val="848636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4291968"/>
        <c:crosses val="autoZero"/>
        <c:auto val="1"/>
        <c:lblAlgn val="ctr"/>
        <c:lblOffset val="100"/>
        <c:noMultiLvlLbl val="0"/>
      </c:catAx>
      <c:valAx>
        <c:axId val="84291968"/>
        <c:scaling>
          <c:orientation val="minMax"/>
        </c:scaling>
        <c:delete val="0"/>
        <c:axPos val="l"/>
        <c:majorGridlines>
          <c:spPr>
            <a:ln w="0"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a:glow rad="228600">
              <a:schemeClr val="accent6">
                <a:satMod val="175000"/>
                <a:alpha val="40000"/>
              </a:schemeClr>
            </a:glow>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486361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E9F04-495D-4930-9689-A02CDE858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2537</TotalTime>
  <Pages>42</Pages>
  <Words>8733</Words>
  <Characters>49779</Characters>
  <Application>Microsoft Office Word</Application>
  <DocSecurity>0</DocSecurity>
  <Lines>414</Lines>
  <Paragraphs>116</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58396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Олишевская</dc:creator>
  <cp:keywords/>
  <dc:description/>
  <cp:lastModifiedBy>Бонка С. Йорданова</cp:lastModifiedBy>
  <cp:revision>168</cp:revision>
  <dcterms:created xsi:type="dcterms:W3CDTF">2022-01-19T07:14:00Z</dcterms:created>
  <dcterms:modified xsi:type="dcterms:W3CDTF">2022-03-04T14:07:00Z</dcterms:modified>
</cp:coreProperties>
</file>